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13" w:rsidRPr="00B66EA8" w:rsidRDefault="00B66EA8" w:rsidP="00B66EA8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B66EA8">
        <w:rPr>
          <w:b/>
          <w:bCs/>
          <w:sz w:val="28"/>
          <w:szCs w:val="28"/>
          <w:lang w:val="en-US"/>
        </w:rPr>
        <w:t>Resources</w:t>
      </w:r>
    </w:p>
    <w:p w:rsidR="00B66EA8" w:rsidRPr="00B66EA8" w:rsidRDefault="00B66EA8" w:rsidP="00B66EA8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B66EA8" w:rsidRDefault="00B66EA8" w:rsidP="00B66EA8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B66EA8">
        <w:rPr>
          <w:b/>
          <w:bCs/>
          <w:sz w:val="24"/>
          <w:szCs w:val="24"/>
          <w:lang w:val="en-US"/>
        </w:rPr>
        <w:t>Research</w:t>
      </w:r>
    </w:p>
    <w:p w:rsidR="005A543F" w:rsidRDefault="005A543F" w:rsidP="005A543F">
      <w:pPr>
        <w:spacing w:after="120" w:line="240" w:lineRule="auto"/>
        <w:jc w:val="both"/>
      </w:pPr>
    </w:p>
    <w:p w:rsidR="005A543F" w:rsidRDefault="005A543F" w:rsidP="005A543F">
      <w:pPr>
        <w:spacing w:after="120" w:line="240" w:lineRule="auto"/>
        <w:jc w:val="both"/>
      </w:pPr>
      <w:r w:rsidRPr="00F547A6">
        <w:t xml:space="preserve">What is the poverty line as per annual income? </w:t>
      </w:r>
    </w:p>
    <w:p w:rsidR="005A543F" w:rsidRPr="00F547A6" w:rsidRDefault="005A543F" w:rsidP="005A543F">
      <w:pPr>
        <w:spacing w:after="120" w:line="240" w:lineRule="auto"/>
        <w:jc w:val="both"/>
      </w:pPr>
      <w:r w:rsidRPr="00F547A6">
        <w:t xml:space="preserve">If it is INR 21,000 as was considered earlier in India (near about 1$ per day as considered by United Nations) then 55% </w:t>
      </w:r>
      <w:proofErr w:type="spellStart"/>
      <w:r w:rsidRPr="00F547A6">
        <w:rPr>
          <w:i/>
          <w:iCs/>
        </w:rPr>
        <w:t>Ekal</w:t>
      </w:r>
      <w:proofErr w:type="spellEnd"/>
      <w:r w:rsidRPr="00F547A6">
        <w:rPr>
          <w:i/>
          <w:iCs/>
        </w:rPr>
        <w:t xml:space="preserve"> </w:t>
      </w:r>
      <w:proofErr w:type="spellStart"/>
      <w:r w:rsidRPr="00F547A6">
        <w:rPr>
          <w:i/>
          <w:iCs/>
        </w:rPr>
        <w:t>Mahila</w:t>
      </w:r>
      <w:proofErr w:type="spellEnd"/>
      <w:r w:rsidRPr="00F547A6">
        <w:t xml:space="preserve"> are living below poverty line. If INR 36,000 is the poverty line then 84% </w:t>
      </w:r>
      <w:proofErr w:type="spellStart"/>
      <w:r w:rsidRPr="00F547A6">
        <w:rPr>
          <w:i/>
          <w:iCs/>
        </w:rPr>
        <w:t>Ekal</w:t>
      </w:r>
      <w:proofErr w:type="spellEnd"/>
      <w:r w:rsidRPr="00F547A6">
        <w:rPr>
          <w:i/>
          <w:iCs/>
        </w:rPr>
        <w:t xml:space="preserve"> </w:t>
      </w:r>
      <w:proofErr w:type="spellStart"/>
      <w:r w:rsidRPr="00F547A6">
        <w:rPr>
          <w:i/>
          <w:iCs/>
        </w:rPr>
        <w:t>Mahila</w:t>
      </w:r>
      <w:proofErr w:type="spellEnd"/>
      <w:r w:rsidRPr="00F547A6">
        <w:t xml:space="preserve"> are living below poverty line. If INR 1</w:t>
      </w:r>
      <w:proofErr w:type="gramStart"/>
      <w:r w:rsidRPr="00F547A6">
        <w:t>,00,000</w:t>
      </w:r>
      <w:proofErr w:type="gramEnd"/>
      <w:r w:rsidRPr="00F547A6">
        <w:t xml:space="preserve"> is the poverty line (considered as economically weaker section in Right to Education Act, 2009; and few other acts-schemes) then 100% </w:t>
      </w:r>
      <w:proofErr w:type="spellStart"/>
      <w:r w:rsidRPr="00F547A6">
        <w:rPr>
          <w:i/>
          <w:iCs/>
        </w:rPr>
        <w:t>Ekal</w:t>
      </w:r>
      <w:proofErr w:type="spellEnd"/>
      <w:r w:rsidRPr="00F547A6">
        <w:rPr>
          <w:i/>
          <w:iCs/>
        </w:rPr>
        <w:t xml:space="preserve"> </w:t>
      </w:r>
      <w:proofErr w:type="spellStart"/>
      <w:r w:rsidRPr="00F547A6">
        <w:rPr>
          <w:i/>
          <w:iCs/>
        </w:rPr>
        <w:t>Mahila</w:t>
      </w:r>
      <w:proofErr w:type="spellEnd"/>
      <w:r w:rsidRPr="00F547A6">
        <w:t xml:space="preserve"> are living below poverty line. </w:t>
      </w:r>
    </w:p>
    <w:p w:rsidR="00D53154" w:rsidRDefault="00D53154" w:rsidP="00B66EA8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F64D62" w:rsidRDefault="00F64D62" w:rsidP="00F64D62">
      <w:pPr>
        <w:spacing w:after="0" w:line="240" w:lineRule="auto"/>
        <w:jc w:val="center"/>
        <w:rPr>
          <w:rFonts w:ascii="Verdana" w:hAnsi="Verdana"/>
          <w:lang w:val="en-US"/>
        </w:rPr>
      </w:pPr>
      <w:r w:rsidRPr="00D0675E">
        <w:rPr>
          <w:rFonts w:ascii="Verdana" w:hAnsi="Verdana"/>
          <w:noProof/>
          <w:lang w:val="en-US" w:bidi="hi-IN"/>
        </w:rPr>
        <w:drawing>
          <wp:inline distT="0" distB="0" distL="0" distR="0">
            <wp:extent cx="4018940" cy="2216506"/>
            <wp:effectExtent l="19050" t="0" r="610" b="0"/>
            <wp:docPr id="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5D54" w:rsidRDefault="00F64D62" w:rsidP="005A543F">
      <w:pPr>
        <w:spacing w:after="0" w:line="240" w:lineRule="auto"/>
        <w:jc w:val="both"/>
        <w:rPr>
          <w:color w:val="FF0000"/>
        </w:rPr>
      </w:pPr>
      <w:r w:rsidRPr="000E6969">
        <w:rPr>
          <w:b/>
          <w:bCs/>
          <w:color w:val="FF0000"/>
        </w:rPr>
        <w:t xml:space="preserve">Read </w:t>
      </w:r>
      <w:proofErr w:type="gramStart"/>
      <w:r w:rsidRPr="000E6969">
        <w:rPr>
          <w:b/>
          <w:bCs/>
          <w:color w:val="FF0000"/>
        </w:rPr>
        <w:t>More ...</w:t>
      </w:r>
      <w:proofErr w:type="gramEnd"/>
      <w:r w:rsidRPr="000E6969">
        <w:rPr>
          <w:color w:val="FF0000"/>
        </w:rPr>
        <w:t xml:space="preserve"> </w:t>
      </w:r>
    </w:p>
    <w:p w:rsidR="005A543F" w:rsidRDefault="005A543F" w:rsidP="005A543F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9558BB">
        <w:rPr>
          <w:b/>
          <w:bCs/>
          <w:color w:val="FF0000"/>
          <w:lang w:val="en-US"/>
        </w:rPr>
        <w:t>‘Glimpse of Her Living’</w:t>
      </w:r>
      <w:r w:rsidRPr="00F547A6">
        <w:rPr>
          <w:color w:val="FF0000"/>
          <w:lang w:val="en-US"/>
        </w:rPr>
        <w:t xml:space="preserve"> </w:t>
      </w:r>
      <w:r w:rsidRPr="00F547A6">
        <w:rPr>
          <w:rFonts w:cs="Arial"/>
        </w:rPr>
        <w:t>Livelihood Assessment of Single Women and Women with Disabilities from 21 villages of Amravati District in Maharashtra State, August 2016;</w:t>
      </w:r>
    </w:p>
    <w:p w:rsidR="00F64D62" w:rsidRPr="000E6969" w:rsidRDefault="00F64D62" w:rsidP="00F64D62">
      <w:pPr>
        <w:spacing w:after="120" w:line="240" w:lineRule="auto"/>
        <w:jc w:val="both"/>
        <w:rPr>
          <w:color w:val="FF0000"/>
        </w:rPr>
      </w:pPr>
    </w:p>
    <w:p w:rsidR="00F64D62" w:rsidRDefault="00F64D62" w:rsidP="00F64D62">
      <w:pPr>
        <w:spacing w:after="120" w:line="240" w:lineRule="auto"/>
        <w:jc w:val="both"/>
        <w:rPr>
          <w:rFonts w:cs="Arial"/>
        </w:rPr>
      </w:pPr>
    </w:p>
    <w:p w:rsidR="00D53154" w:rsidRPr="00B46300" w:rsidRDefault="006B7116" w:rsidP="00B46300">
      <w:pPr>
        <w:spacing w:after="80" w:line="240" w:lineRule="auto"/>
        <w:rPr>
          <w:rFonts w:eastAsia="Times New Roman" w:cs="Arial"/>
          <w:b/>
          <w:bCs/>
          <w:color w:val="222222"/>
          <w:lang w:val="en-US" w:bidi="hi-IN"/>
        </w:rPr>
      </w:pPr>
      <w:r>
        <w:rPr>
          <w:rFonts w:eastAsia="Times New Roman" w:cs="Arial"/>
          <w:b/>
          <w:bCs/>
          <w:color w:val="FF0000"/>
          <w:lang w:val="en-US" w:bidi="hi-IN"/>
        </w:rPr>
        <w:t>‘</w:t>
      </w:r>
      <w:proofErr w:type="spellStart"/>
      <w:r w:rsidR="00D53154" w:rsidRPr="006B7116">
        <w:rPr>
          <w:rFonts w:eastAsia="Times New Roman" w:cs="Arial"/>
          <w:b/>
          <w:bCs/>
          <w:color w:val="FF0000"/>
          <w:lang w:val="en-US" w:bidi="hi-IN"/>
        </w:rPr>
        <w:t>Kharip</w:t>
      </w:r>
      <w:proofErr w:type="spellEnd"/>
      <w:r w:rsidR="00D53154" w:rsidRPr="006B7116">
        <w:rPr>
          <w:rFonts w:eastAsia="Times New Roman" w:cs="Arial"/>
          <w:b/>
          <w:bCs/>
          <w:color w:val="FF0000"/>
          <w:lang w:val="en-US" w:bidi="hi-IN"/>
        </w:rPr>
        <w:t xml:space="preserve"> Crop </w:t>
      </w:r>
      <w:r w:rsidR="004C557B" w:rsidRPr="006B7116">
        <w:rPr>
          <w:rFonts w:eastAsia="Times New Roman" w:cs="Arial"/>
          <w:b/>
          <w:bCs/>
          <w:color w:val="FF0000"/>
          <w:lang w:val="en-US" w:bidi="hi-IN"/>
        </w:rPr>
        <w:t xml:space="preserve">2015 </w:t>
      </w:r>
      <w:r w:rsidR="00D53154" w:rsidRPr="006B7116">
        <w:rPr>
          <w:rFonts w:eastAsia="Times New Roman" w:cs="Arial"/>
          <w:b/>
          <w:bCs/>
          <w:color w:val="FF0000"/>
          <w:lang w:val="en-US" w:bidi="hi-IN"/>
        </w:rPr>
        <w:t>Survey</w:t>
      </w:r>
      <w:r>
        <w:rPr>
          <w:rFonts w:eastAsia="Times New Roman" w:cs="Arial"/>
          <w:b/>
          <w:bCs/>
          <w:color w:val="FF0000"/>
          <w:lang w:val="en-US" w:bidi="hi-IN"/>
        </w:rPr>
        <w:t>’</w:t>
      </w:r>
      <w:r w:rsidR="00D53154" w:rsidRPr="00B46300">
        <w:rPr>
          <w:rFonts w:eastAsia="Times New Roman" w:cs="Arial"/>
          <w:b/>
          <w:bCs/>
          <w:color w:val="222222"/>
          <w:lang w:val="en-US" w:bidi="hi-IN"/>
        </w:rPr>
        <w:t xml:space="preserve"> </w:t>
      </w:r>
      <w:r>
        <w:rPr>
          <w:rFonts w:eastAsia="Times New Roman" w:cs="Arial"/>
          <w:b/>
          <w:bCs/>
          <w:color w:val="222222"/>
          <w:lang w:val="en-US" w:bidi="hi-IN"/>
        </w:rPr>
        <w:t>Report Submitted</w:t>
      </w:r>
      <w:r w:rsidR="00D53154" w:rsidRPr="00B46300">
        <w:rPr>
          <w:rFonts w:eastAsia="Times New Roman" w:cs="Arial"/>
          <w:b/>
          <w:bCs/>
          <w:color w:val="222222"/>
          <w:lang w:val="en-US" w:bidi="hi-IN"/>
        </w:rPr>
        <w:t xml:space="preserve"> to </w:t>
      </w:r>
      <w:r>
        <w:rPr>
          <w:rFonts w:eastAsia="Times New Roman" w:cs="Arial"/>
          <w:b/>
          <w:bCs/>
          <w:color w:val="222222"/>
          <w:lang w:val="en-US" w:bidi="hi-IN"/>
        </w:rPr>
        <w:t xml:space="preserve">Hon. </w:t>
      </w:r>
      <w:r w:rsidR="00D53154" w:rsidRPr="00B46300">
        <w:rPr>
          <w:rFonts w:eastAsia="Times New Roman" w:cs="Arial"/>
          <w:b/>
          <w:bCs/>
          <w:color w:val="222222"/>
          <w:lang w:val="en-US" w:bidi="hi-IN"/>
        </w:rPr>
        <w:t>Chief Minister of Maharashtra State</w:t>
      </w:r>
    </w:p>
    <w:p w:rsidR="00D53154" w:rsidRPr="00B46300" w:rsidRDefault="00D53154" w:rsidP="00D53154">
      <w:pPr>
        <w:spacing w:after="80" w:line="240" w:lineRule="auto"/>
        <w:jc w:val="both"/>
        <w:rPr>
          <w:rFonts w:eastAsia="Times New Roman" w:cs="Arial"/>
          <w:color w:val="222222"/>
          <w:lang w:val="en-US" w:bidi="hi-IN"/>
        </w:rPr>
      </w:pPr>
      <w:r w:rsidRPr="00B46300">
        <w:rPr>
          <w:rFonts w:eastAsia="Times New Roman" w:cs="Arial"/>
          <w:color w:val="222222"/>
          <w:lang w:val="en-US" w:bidi="hi-IN"/>
        </w:rPr>
        <w:t>‘</w:t>
      </w:r>
      <w:proofErr w:type="spellStart"/>
      <w:r w:rsidRPr="00B46300">
        <w:rPr>
          <w:rFonts w:eastAsia="Times New Roman" w:cs="Arial"/>
          <w:color w:val="222222"/>
          <w:lang w:val="en-US" w:bidi="hi-IN"/>
        </w:rPr>
        <w:t>Swarajya-Mitra</w:t>
      </w:r>
      <w:proofErr w:type="spellEnd"/>
      <w:r w:rsidRPr="00B46300">
        <w:rPr>
          <w:rFonts w:eastAsia="Times New Roman" w:cs="Arial"/>
          <w:color w:val="222222"/>
          <w:lang w:val="en-US" w:bidi="hi-IN"/>
        </w:rPr>
        <w:t xml:space="preserve">’ trained village volunteers to survey the </w:t>
      </w:r>
      <w:proofErr w:type="spellStart"/>
      <w:r w:rsidRPr="00B46300">
        <w:rPr>
          <w:rFonts w:eastAsia="Times New Roman" w:cs="Arial"/>
          <w:color w:val="222222"/>
          <w:lang w:val="en-US" w:bidi="hi-IN"/>
        </w:rPr>
        <w:t>Kharip</w:t>
      </w:r>
      <w:proofErr w:type="spellEnd"/>
      <w:r w:rsidRPr="00B46300">
        <w:rPr>
          <w:rFonts w:eastAsia="Times New Roman" w:cs="Arial"/>
          <w:color w:val="222222"/>
          <w:lang w:val="en-US" w:bidi="hi-IN"/>
        </w:rPr>
        <w:t xml:space="preserve"> Crop Status in the area. 83 farmers from 8 villages reported their crop status during 30</w:t>
      </w:r>
      <w:r w:rsidRPr="00B46300">
        <w:rPr>
          <w:rFonts w:eastAsia="Times New Roman" w:cs="Arial"/>
          <w:color w:val="222222"/>
          <w:vertAlign w:val="superscript"/>
          <w:lang w:val="en-US" w:bidi="hi-IN"/>
        </w:rPr>
        <w:t>th</w:t>
      </w:r>
      <w:r w:rsidRPr="00B46300">
        <w:rPr>
          <w:rFonts w:eastAsia="Times New Roman" w:cs="Arial"/>
          <w:color w:val="222222"/>
          <w:lang w:val="en-US" w:bidi="hi-IN"/>
        </w:rPr>
        <w:t xml:space="preserve"> October to 6</w:t>
      </w:r>
      <w:r w:rsidRPr="00B46300">
        <w:rPr>
          <w:rFonts w:eastAsia="Times New Roman" w:cs="Arial"/>
          <w:color w:val="222222"/>
          <w:vertAlign w:val="superscript"/>
          <w:lang w:val="en-US" w:bidi="hi-IN"/>
        </w:rPr>
        <w:t>th</w:t>
      </w:r>
      <w:r w:rsidRPr="00B46300">
        <w:rPr>
          <w:rFonts w:eastAsia="Times New Roman" w:cs="Arial"/>
          <w:color w:val="222222"/>
          <w:lang w:val="en-US" w:bidi="hi-IN"/>
        </w:rPr>
        <w:t xml:space="preserve"> November 2015. </w:t>
      </w:r>
    </w:p>
    <w:p w:rsidR="00D53154" w:rsidRPr="00B46300" w:rsidRDefault="00D53154" w:rsidP="00D53154">
      <w:pPr>
        <w:spacing w:after="80" w:line="240" w:lineRule="auto"/>
        <w:jc w:val="both"/>
        <w:rPr>
          <w:rFonts w:eastAsia="Times New Roman" w:cs="Arial"/>
          <w:color w:val="222222"/>
          <w:lang w:val="en-US" w:bidi="hi-IN"/>
        </w:rPr>
      </w:pPr>
      <w:r w:rsidRPr="00B46300">
        <w:rPr>
          <w:rFonts w:eastAsia="Times New Roman" w:cs="Arial"/>
          <w:color w:val="222222"/>
          <w:lang w:val="en-US" w:bidi="hi-IN"/>
        </w:rPr>
        <w:t>Village wise report was submitted to Chief Minister o</w:t>
      </w:r>
      <w:r w:rsidR="00051220" w:rsidRPr="00B46300">
        <w:rPr>
          <w:rFonts w:eastAsia="Times New Roman" w:cs="Arial"/>
          <w:color w:val="222222"/>
          <w:lang w:val="en-US" w:bidi="hi-IN"/>
        </w:rPr>
        <w:t xml:space="preserve">f Maharashtra State by farmers that </w:t>
      </w:r>
      <w:r w:rsidRPr="00B46300">
        <w:rPr>
          <w:rFonts w:eastAsia="Times New Roman" w:cs="Arial"/>
          <w:color w:val="222222"/>
          <w:lang w:val="en-US" w:bidi="hi-IN"/>
        </w:rPr>
        <w:t>demanded government to clarify plan of action for freeing the farmers from debt trap as was announced by the Chief Minister on 20</w:t>
      </w:r>
      <w:r w:rsidRPr="00B46300">
        <w:rPr>
          <w:rFonts w:eastAsia="Times New Roman" w:cs="Arial"/>
          <w:color w:val="222222"/>
          <w:vertAlign w:val="superscript"/>
          <w:lang w:val="en-US" w:bidi="hi-IN"/>
        </w:rPr>
        <w:t>th</w:t>
      </w:r>
      <w:r w:rsidRPr="00B46300">
        <w:rPr>
          <w:rFonts w:eastAsia="Times New Roman" w:cs="Arial"/>
          <w:color w:val="222222"/>
          <w:lang w:val="en-US" w:bidi="hi-IN"/>
        </w:rPr>
        <w:t xml:space="preserve"> July 2015 in state assembly. </w:t>
      </w:r>
    </w:p>
    <w:p w:rsidR="00D53154" w:rsidRPr="00B46300" w:rsidRDefault="00D53154" w:rsidP="00D53154">
      <w:pPr>
        <w:spacing w:after="80" w:line="240" w:lineRule="auto"/>
        <w:jc w:val="both"/>
        <w:rPr>
          <w:rFonts w:eastAsia="Times New Roman" w:cs="Arial"/>
          <w:color w:val="222222"/>
          <w:lang w:val="en-US" w:bidi="hi-IN"/>
        </w:rPr>
      </w:pPr>
      <w:r w:rsidRPr="00B46300">
        <w:rPr>
          <w:rFonts w:eastAsia="Times New Roman" w:cs="Arial"/>
          <w:color w:val="222222"/>
          <w:lang w:val="en-US" w:bidi="hi-IN"/>
        </w:rPr>
        <w:t xml:space="preserve">Following are the major findings of the report: </w:t>
      </w:r>
    </w:p>
    <w:tbl>
      <w:tblPr>
        <w:tblW w:w="8010" w:type="dxa"/>
        <w:tblInd w:w="648" w:type="dxa"/>
        <w:tblLook w:val="04A0"/>
      </w:tblPr>
      <w:tblGrid>
        <w:gridCol w:w="6120"/>
        <w:gridCol w:w="952"/>
        <w:gridCol w:w="990"/>
      </w:tblGrid>
      <w:tr w:rsidR="00D53154" w:rsidRPr="00B46300" w:rsidTr="00C158F0">
        <w:trPr>
          <w:trHeight w:val="3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Detail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Percent</w:t>
            </w: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Farmers Having Bank/Society Loan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92.77 %</w:t>
            </w: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Average Amount of Bank/Society Loan (INR)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53,988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bidi="hi-IN"/>
              </w:rPr>
            </w:pP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Farmers Having Moneylender/Company Loan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7.23 %</w:t>
            </w: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Farmers Having Relative/Friend/SHG Loan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21.69 %</w:t>
            </w: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Average Cultivation Area Per Farmer (Acre)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Average Cultivation Cost Per Farmer (INR)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46,547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 xml:space="preserve">Average </w:t>
            </w:r>
            <w:proofErr w:type="spellStart"/>
            <w:r w:rsidRPr="00B46300">
              <w:rPr>
                <w:rFonts w:eastAsia="Times New Roman"/>
                <w:color w:val="000000"/>
                <w:lang w:val="en-US" w:bidi="hi-IN"/>
              </w:rPr>
              <w:t>Soyabean</w:t>
            </w:r>
            <w:proofErr w:type="spellEnd"/>
            <w:r w:rsidRPr="00B46300">
              <w:rPr>
                <w:rFonts w:eastAsia="Times New Roman"/>
                <w:color w:val="000000"/>
                <w:lang w:val="en-US" w:bidi="hi-IN"/>
              </w:rPr>
              <w:t xml:space="preserve"> Yield Per Farmer (Quintal)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Average Returns Per Farmer (INR)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13,568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Average Cultivation Cost Per Acre (INR)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11,637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lastRenderedPageBreak/>
              <w:t xml:space="preserve">Average </w:t>
            </w:r>
            <w:proofErr w:type="spellStart"/>
            <w:r w:rsidRPr="00B46300">
              <w:rPr>
                <w:rFonts w:eastAsia="Times New Roman"/>
                <w:color w:val="000000"/>
                <w:lang w:val="en-US" w:bidi="hi-IN"/>
              </w:rPr>
              <w:t>Soyabean</w:t>
            </w:r>
            <w:proofErr w:type="spellEnd"/>
            <w:r w:rsidRPr="00B46300">
              <w:rPr>
                <w:rFonts w:eastAsia="Times New Roman"/>
                <w:color w:val="000000"/>
                <w:lang w:val="en-US" w:bidi="hi-IN"/>
              </w:rPr>
              <w:t xml:space="preserve"> Yield Per Acre (Quintal)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1.33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Average Returns Per Acre (INR)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3,392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Average Loss Over Cultivation Cost Per Farmer (INR)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32,979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Average Loss Over Per Acre Cultivation Cost (INR)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8,245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Farmers Having Zero Yield and hence Zero Returns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8.43%</w:t>
            </w: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Amount of Minimum Loss Over Cultivation Cost (INR)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</w:p>
        </w:tc>
      </w:tr>
      <w:tr w:rsidR="00D53154" w:rsidRPr="00B46300" w:rsidTr="00C158F0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Amount of Maximum Loss Over Cultivation Cost (INR)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B46300">
              <w:rPr>
                <w:rFonts w:eastAsia="Times New Roman"/>
                <w:color w:val="000000"/>
                <w:lang w:val="en-US" w:bidi="hi-IN"/>
              </w:rPr>
              <w:t>156,000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154" w:rsidRPr="00B46300" w:rsidRDefault="00D53154" w:rsidP="00C15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</w:p>
        </w:tc>
      </w:tr>
    </w:tbl>
    <w:p w:rsidR="00D53154" w:rsidRPr="00F547A6" w:rsidRDefault="00D53154" w:rsidP="00F64D62">
      <w:pPr>
        <w:spacing w:after="120" w:line="240" w:lineRule="auto"/>
        <w:jc w:val="both"/>
        <w:rPr>
          <w:rFonts w:cs="Arial"/>
        </w:rPr>
      </w:pPr>
    </w:p>
    <w:p w:rsidR="00E30EC2" w:rsidRDefault="00E30EC2" w:rsidP="00F64D62">
      <w:pPr>
        <w:spacing w:after="0" w:line="240" w:lineRule="auto"/>
        <w:jc w:val="both"/>
        <w:rPr>
          <w:rFonts w:cs="Arial"/>
          <w:bCs/>
          <w:iCs/>
        </w:rPr>
      </w:pPr>
    </w:p>
    <w:p w:rsidR="00E30EC2" w:rsidRDefault="00E30EC2" w:rsidP="00F64D62">
      <w:pPr>
        <w:spacing w:after="0" w:line="240" w:lineRule="auto"/>
        <w:jc w:val="both"/>
        <w:rPr>
          <w:rFonts w:cs="Arial"/>
          <w:bCs/>
          <w:iCs/>
        </w:rPr>
      </w:pPr>
    </w:p>
    <w:p w:rsidR="00F64D62" w:rsidRPr="00F547A6" w:rsidRDefault="00F64D62" w:rsidP="00F64D62">
      <w:pPr>
        <w:spacing w:after="0" w:line="240" w:lineRule="auto"/>
        <w:jc w:val="both"/>
        <w:rPr>
          <w:rFonts w:cs="Arial"/>
          <w:bCs/>
          <w:iCs/>
        </w:rPr>
      </w:pPr>
      <w:r w:rsidRPr="00F547A6">
        <w:rPr>
          <w:rFonts w:cs="Arial"/>
          <w:bCs/>
          <w:iCs/>
        </w:rPr>
        <w:t>‘</w:t>
      </w:r>
      <w:proofErr w:type="spellStart"/>
      <w:r w:rsidRPr="00F547A6">
        <w:rPr>
          <w:rFonts w:cs="Arial"/>
          <w:bCs/>
          <w:iCs/>
        </w:rPr>
        <w:t>Swarajya-Mitra</w:t>
      </w:r>
      <w:proofErr w:type="spellEnd"/>
      <w:r w:rsidRPr="00F547A6">
        <w:rPr>
          <w:rFonts w:cs="Arial"/>
          <w:bCs/>
          <w:iCs/>
        </w:rPr>
        <w:t xml:space="preserve">’ has conducted a study in the year 2011-12 in 65 villages of Amravati district in Maharashtra state in India; on status of persons with disabilities regarding the five components of </w:t>
      </w:r>
      <w:r w:rsidRPr="00111A77">
        <w:rPr>
          <w:rFonts w:cs="Arial"/>
          <w:b/>
          <w:iCs/>
        </w:rPr>
        <w:t>CBR Matrix</w:t>
      </w:r>
      <w:r w:rsidRPr="00F547A6">
        <w:rPr>
          <w:rFonts w:cs="Arial"/>
          <w:bCs/>
          <w:iCs/>
        </w:rPr>
        <w:t xml:space="preserve">, </w:t>
      </w:r>
      <w:r w:rsidRPr="00111A77">
        <w:rPr>
          <w:rFonts w:cs="Arial"/>
          <w:b/>
          <w:iCs/>
        </w:rPr>
        <w:t>2005</w:t>
      </w:r>
      <w:r w:rsidRPr="00F547A6">
        <w:rPr>
          <w:rFonts w:cs="Arial"/>
          <w:bCs/>
          <w:iCs/>
        </w:rPr>
        <w:t xml:space="preserve"> (guidelines provided by World Health Organization); that revealed – </w:t>
      </w:r>
    </w:p>
    <w:p w:rsidR="00F64D62" w:rsidRPr="00F547A6" w:rsidRDefault="00F64D62" w:rsidP="00F64D62">
      <w:pPr>
        <w:spacing w:after="0" w:line="240" w:lineRule="auto"/>
        <w:jc w:val="both"/>
        <w:rPr>
          <w:rFonts w:cs="Arial"/>
          <w:bCs/>
          <w:iCs/>
        </w:rPr>
      </w:pPr>
      <w:r w:rsidRPr="00F547A6">
        <w:rPr>
          <w:rFonts w:cs="Arial"/>
          <w:bCs/>
          <w:iCs/>
        </w:rPr>
        <w:t>Based on the 36 indicators, the ‘</w:t>
      </w:r>
      <w:r w:rsidRPr="00F547A6">
        <w:rPr>
          <w:rFonts w:cs="Arial"/>
          <w:b/>
          <w:iCs/>
        </w:rPr>
        <w:t>Disability Deprivation Index</w:t>
      </w:r>
      <w:r w:rsidRPr="00F547A6">
        <w:rPr>
          <w:rFonts w:cs="Arial"/>
          <w:bCs/>
          <w:iCs/>
        </w:rPr>
        <w:t xml:space="preserve">’ of the area is very high as </w:t>
      </w:r>
      <w:r w:rsidRPr="00F547A6">
        <w:rPr>
          <w:rFonts w:cs="Arial"/>
          <w:b/>
          <w:iCs/>
        </w:rPr>
        <w:t>68.46</w:t>
      </w:r>
      <w:r w:rsidRPr="00F547A6">
        <w:rPr>
          <w:rFonts w:cs="Arial"/>
          <w:bCs/>
          <w:iCs/>
        </w:rPr>
        <w:t xml:space="preserve">, needing urgent intervention for disabled inclusive overall development of the society.  </w:t>
      </w:r>
    </w:p>
    <w:p w:rsidR="00F64D62" w:rsidRPr="00F547A6" w:rsidRDefault="00F64D62" w:rsidP="00F64D62">
      <w:pPr>
        <w:spacing w:after="0" w:line="240" w:lineRule="auto"/>
        <w:jc w:val="both"/>
        <w:rPr>
          <w:color w:val="FF0000"/>
          <w:lang w:val="en-US"/>
        </w:rPr>
      </w:pPr>
    </w:p>
    <w:p w:rsidR="00F64D62" w:rsidRPr="00F547A6" w:rsidRDefault="00F64D62" w:rsidP="00F64D62">
      <w:pPr>
        <w:spacing w:after="0" w:line="240" w:lineRule="auto"/>
        <w:jc w:val="center"/>
        <w:rPr>
          <w:color w:val="FF0000"/>
          <w:lang w:val="en-US"/>
        </w:rPr>
      </w:pPr>
      <w:r w:rsidRPr="00F547A6">
        <w:rPr>
          <w:noProof/>
          <w:color w:val="FF0000"/>
          <w:lang w:val="en-US" w:bidi="hi-IN"/>
        </w:rPr>
        <w:drawing>
          <wp:inline distT="0" distB="0" distL="0" distR="0">
            <wp:extent cx="5403740" cy="3140765"/>
            <wp:effectExtent l="19050" t="0" r="6460" b="0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4D62" w:rsidRPr="00F547A6" w:rsidRDefault="00F64D62" w:rsidP="00F64D62">
      <w:pPr>
        <w:spacing w:after="0" w:line="240" w:lineRule="auto"/>
        <w:jc w:val="both"/>
        <w:rPr>
          <w:color w:val="FF0000"/>
          <w:lang w:val="en-US"/>
        </w:rPr>
      </w:pPr>
    </w:p>
    <w:p w:rsidR="00F64D62" w:rsidRPr="007F5D54" w:rsidRDefault="00F64D62" w:rsidP="00F64D62">
      <w:pPr>
        <w:spacing w:after="0" w:line="240" w:lineRule="auto"/>
        <w:jc w:val="both"/>
        <w:rPr>
          <w:b/>
          <w:bCs/>
          <w:color w:val="FF0000"/>
        </w:rPr>
      </w:pPr>
      <w:r w:rsidRPr="007F5D54">
        <w:rPr>
          <w:b/>
          <w:bCs/>
          <w:color w:val="FF0000"/>
        </w:rPr>
        <w:t xml:space="preserve">Read </w:t>
      </w:r>
      <w:proofErr w:type="gramStart"/>
      <w:r w:rsidRPr="007F5D54">
        <w:rPr>
          <w:b/>
          <w:bCs/>
          <w:color w:val="FF0000"/>
        </w:rPr>
        <w:t>More ...</w:t>
      </w:r>
      <w:proofErr w:type="gramEnd"/>
      <w:r w:rsidRPr="007F5D54">
        <w:rPr>
          <w:b/>
          <w:bCs/>
          <w:color w:val="FF0000"/>
        </w:rPr>
        <w:t xml:space="preserve"> </w:t>
      </w:r>
    </w:p>
    <w:p w:rsidR="00F64D62" w:rsidRPr="000E6969" w:rsidRDefault="00F64D62" w:rsidP="00F64D62">
      <w:pPr>
        <w:spacing w:after="0" w:line="240" w:lineRule="auto"/>
        <w:jc w:val="both"/>
        <w:rPr>
          <w:b/>
          <w:bCs/>
        </w:rPr>
      </w:pPr>
      <w:r w:rsidRPr="000E6969">
        <w:rPr>
          <w:b/>
          <w:bCs/>
          <w:color w:val="FF0000"/>
        </w:rPr>
        <w:t xml:space="preserve">Education Status Study of Persons </w:t>
      </w:r>
      <w:r w:rsidR="00AB1A58" w:rsidRPr="000E6969">
        <w:rPr>
          <w:b/>
          <w:bCs/>
          <w:color w:val="FF0000"/>
        </w:rPr>
        <w:t>with</w:t>
      </w:r>
      <w:r w:rsidRPr="000E6969">
        <w:rPr>
          <w:b/>
          <w:bCs/>
          <w:color w:val="FF0000"/>
        </w:rPr>
        <w:t xml:space="preserve"> Disabilities</w:t>
      </w:r>
      <w:r w:rsidR="00805EAB">
        <w:rPr>
          <w:b/>
          <w:bCs/>
          <w:color w:val="FF0000"/>
        </w:rPr>
        <w:t xml:space="preserve"> by </w:t>
      </w:r>
      <w:r w:rsidR="00805EAB" w:rsidRPr="000E6969">
        <w:rPr>
          <w:b/>
          <w:bCs/>
          <w:color w:val="FF0000"/>
        </w:rPr>
        <w:t>‘</w:t>
      </w:r>
      <w:proofErr w:type="spellStart"/>
      <w:r w:rsidR="00805EAB" w:rsidRPr="000E6969">
        <w:rPr>
          <w:b/>
          <w:bCs/>
          <w:color w:val="FF0000"/>
        </w:rPr>
        <w:t>Swarajya-Mitra</w:t>
      </w:r>
      <w:proofErr w:type="spellEnd"/>
      <w:r w:rsidR="00805EAB" w:rsidRPr="000E6969">
        <w:rPr>
          <w:b/>
          <w:bCs/>
          <w:color w:val="FF0000"/>
        </w:rPr>
        <w:t>’</w:t>
      </w:r>
      <w:r w:rsidRPr="000E6969">
        <w:rPr>
          <w:b/>
          <w:bCs/>
        </w:rPr>
        <w:t xml:space="preserve"> </w:t>
      </w:r>
    </w:p>
    <w:p w:rsidR="00F64D62" w:rsidRPr="000E6969" w:rsidRDefault="00F64D62" w:rsidP="00F64D62">
      <w:pPr>
        <w:spacing w:after="0" w:line="240" w:lineRule="auto"/>
        <w:jc w:val="both"/>
        <w:rPr>
          <w:b/>
          <w:bCs/>
          <w:color w:val="FF0000"/>
        </w:rPr>
      </w:pPr>
      <w:r w:rsidRPr="000E6969">
        <w:rPr>
          <w:b/>
          <w:bCs/>
          <w:color w:val="FF0000"/>
        </w:rPr>
        <w:t xml:space="preserve">Health Status Study of Persons </w:t>
      </w:r>
      <w:r w:rsidR="00AB1A58" w:rsidRPr="000E6969">
        <w:rPr>
          <w:b/>
          <w:bCs/>
          <w:color w:val="FF0000"/>
        </w:rPr>
        <w:t>with</w:t>
      </w:r>
      <w:r w:rsidRPr="000E6969">
        <w:rPr>
          <w:b/>
          <w:bCs/>
          <w:color w:val="FF0000"/>
        </w:rPr>
        <w:t xml:space="preserve"> Disabilities </w:t>
      </w:r>
      <w:r w:rsidR="00805EAB">
        <w:rPr>
          <w:b/>
          <w:bCs/>
          <w:color w:val="FF0000"/>
        </w:rPr>
        <w:t xml:space="preserve">by </w:t>
      </w:r>
      <w:r w:rsidR="00805EAB" w:rsidRPr="000E6969">
        <w:rPr>
          <w:b/>
          <w:bCs/>
          <w:color w:val="FF0000"/>
        </w:rPr>
        <w:t>‘</w:t>
      </w:r>
      <w:proofErr w:type="spellStart"/>
      <w:r w:rsidR="00805EAB" w:rsidRPr="000E6969">
        <w:rPr>
          <w:b/>
          <w:bCs/>
          <w:color w:val="FF0000"/>
        </w:rPr>
        <w:t>Swarajya-Mitra</w:t>
      </w:r>
      <w:proofErr w:type="spellEnd"/>
      <w:r w:rsidR="00805EAB" w:rsidRPr="000E6969">
        <w:rPr>
          <w:b/>
          <w:bCs/>
          <w:color w:val="FF0000"/>
        </w:rPr>
        <w:t>’</w:t>
      </w:r>
    </w:p>
    <w:p w:rsidR="00F64D62" w:rsidRPr="000E6969" w:rsidRDefault="00F64D62" w:rsidP="00F64D62">
      <w:pPr>
        <w:spacing w:after="0" w:line="240" w:lineRule="auto"/>
        <w:jc w:val="both"/>
        <w:rPr>
          <w:b/>
          <w:bCs/>
          <w:color w:val="FF0000"/>
        </w:rPr>
      </w:pPr>
      <w:r w:rsidRPr="000E6969">
        <w:rPr>
          <w:b/>
          <w:bCs/>
          <w:color w:val="FF0000"/>
        </w:rPr>
        <w:t xml:space="preserve">Livelihood Status Study of Persons </w:t>
      </w:r>
      <w:r w:rsidR="00AB1A58" w:rsidRPr="000E6969">
        <w:rPr>
          <w:b/>
          <w:bCs/>
          <w:color w:val="FF0000"/>
        </w:rPr>
        <w:t>with</w:t>
      </w:r>
      <w:r w:rsidRPr="000E6969">
        <w:rPr>
          <w:b/>
          <w:bCs/>
          <w:color w:val="FF0000"/>
        </w:rPr>
        <w:t xml:space="preserve"> Disabilities </w:t>
      </w:r>
      <w:r w:rsidR="00805EAB">
        <w:rPr>
          <w:b/>
          <w:bCs/>
          <w:color w:val="FF0000"/>
        </w:rPr>
        <w:t xml:space="preserve">by </w:t>
      </w:r>
      <w:r w:rsidR="00805EAB" w:rsidRPr="000E6969">
        <w:rPr>
          <w:b/>
          <w:bCs/>
          <w:color w:val="FF0000"/>
        </w:rPr>
        <w:t>‘</w:t>
      </w:r>
      <w:proofErr w:type="spellStart"/>
      <w:r w:rsidR="00805EAB" w:rsidRPr="000E6969">
        <w:rPr>
          <w:b/>
          <w:bCs/>
          <w:color w:val="FF0000"/>
        </w:rPr>
        <w:t>Swarajya-Mitra</w:t>
      </w:r>
      <w:proofErr w:type="spellEnd"/>
      <w:r w:rsidR="00805EAB" w:rsidRPr="000E6969">
        <w:rPr>
          <w:b/>
          <w:bCs/>
          <w:color w:val="FF0000"/>
        </w:rPr>
        <w:t>’</w:t>
      </w:r>
    </w:p>
    <w:p w:rsidR="00F64D62" w:rsidRPr="000E6969" w:rsidRDefault="00F64D62" w:rsidP="00F64D62">
      <w:pPr>
        <w:spacing w:after="0" w:line="240" w:lineRule="auto"/>
        <w:jc w:val="both"/>
        <w:rPr>
          <w:b/>
          <w:bCs/>
          <w:color w:val="FF0000"/>
        </w:rPr>
      </w:pPr>
      <w:r w:rsidRPr="000E6969">
        <w:rPr>
          <w:b/>
          <w:bCs/>
          <w:color w:val="FF0000"/>
        </w:rPr>
        <w:t xml:space="preserve">Empowerment Status Study of Persons </w:t>
      </w:r>
      <w:r w:rsidR="00AB1A58" w:rsidRPr="000E6969">
        <w:rPr>
          <w:b/>
          <w:bCs/>
          <w:color w:val="FF0000"/>
        </w:rPr>
        <w:t>with</w:t>
      </w:r>
      <w:r w:rsidRPr="000E6969">
        <w:rPr>
          <w:b/>
          <w:bCs/>
          <w:color w:val="FF0000"/>
        </w:rPr>
        <w:t xml:space="preserve"> Disabilities</w:t>
      </w:r>
      <w:r w:rsidR="00805EAB">
        <w:rPr>
          <w:b/>
          <w:bCs/>
          <w:color w:val="FF0000"/>
        </w:rPr>
        <w:t xml:space="preserve"> by </w:t>
      </w:r>
      <w:r w:rsidR="00805EAB" w:rsidRPr="000E6969">
        <w:rPr>
          <w:b/>
          <w:bCs/>
          <w:color w:val="FF0000"/>
        </w:rPr>
        <w:t>‘</w:t>
      </w:r>
      <w:proofErr w:type="spellStart"/>
      <w:r w:rsidR="00805EAB" w:rsidRPr="000E6969">
        <w:rPr>
          <w:b/>
          <w:bCs/>
          <w:color w:val="FF0000"/>
        </w:rPr>
        <w:t>Swarajya-Mitra</w:t>
      </w:r>
      <w:proofErr w:type="spellEnd"/>
      <w:r w:rsidR="00805EAB" w:rsidRPr="000E6969">
        <w:rPr>
          <w:b/>
          <w:bCs/>
          <w:color w:val="FF0000"/>
        </w:rPr>
        <w:t>’</w:t>
      </w:r>
    </w:p>
    <w:p w:rsidR="00805EAB" w:rsidRDefault="00F64D62" w:rsidP="00F64D62">
      <w:pPr>
        <w:spacing w:after="0" w:line="240" w:lineRule="auto"/>
        <w:jc w:val="both"/>
        <w:rPr>
          <w:b/>
          <w:bCs/>
          <w:color w:val="FF0000"/>
        </w:rPr>
      </w:pPr>
      <w:r w:rsidRPr="000E6969">
        <w:rPr>
          <w:b/>
          <w:bCs/>
          <w:color w:val="FF0000"/>
        </w:rPr>
        <w:t xml:space="preserve">Social Status Study of Persons </w:t>
      </w:r>
      <w:r w:rsidR="00AB1A58" w:rsidRPr="000E6969">
        <w:rPr>
          <w:b/>
          <w:bCs/>
          <w:color w:val="FF0000"/>
        </w:rPr>
        <w:t>with</w:t>
      </w:r>
      <w:r w:rsidRPr="000E6969">
        <w:rPr>
          <w:b/>
          <w:bCs/>
          <w:color w:val="FF0000"/>
        </w:rPr>
        <w:t xml:space="preserve"> Disabilities</w:t>
      </w:r>
      <w:r w:rsidR="00805EAB">
        <w:rPr>
          <w:b/>
          <w:bCs/>
          <w:color w:val="FF0000"/>
        </w:rPr>
        <w:t xml:space="preserve"> by </w:t>
      </w:r>
      <w:r w:rsidR="00805EAB" w:rsidRPr="000E6969">
        <w:rPr>
          <w:b/>
          <w:bCs/>
          <w:color w:val="FF0000"/>
        </w:rPr>
        <w:t>‘</w:t>
      </w:r>
      <w:proofErr w:type="spellStart"/>
      <w:r w:rsidR="00805EAB" w:rsidRPr="000E6969">
        <w:rPr>
          <w:b/>
          <w:bCs/>
          <w:color w:val="FF0000"/>
        </w:rPr>
        <w:t>Swarajya-Mitra</w:t>
      </w:r>
      <w:proofErr w:type="spellEnd"/>
      <w:r w:rsidR="00805EAB" w:rsidRPr="000E6969">
        <w:rPr>
          <w:b/>
          <w:bCs/>
          <w:color w:val="FF0000"/>
        </w:rPr>
        <w:t>’</w:t>
      </w:r>
    </w:p>
    <w:p w:rsidR="00805EAB" w:rsidRDefault="00805EAB" w:rsidP="00805EAB">
      <w:p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General</w:t>
      </w:r>
      <w:r w:rsidRPr="000E6969">
        <w:rPr>
          <w:b/>
          <w:bCs/>
          <w:color w:val="FF0000"/>
        </w:rPr>
        <w:t xml:space="preserve"> Status Study of Persons with Disabilities</w:t>
      </w:r>
      <w:r>
        <w:rPr>
          <w:b/>
          <w:bCs/>
          <w:color w:val="FF0000"/>
        </w:rPr>
        <w:t xml:space="preserve"> by </w:t>
      </w:r>
      <w:r w:rsidRPr="000E6969">
        <w:rPr>
          <w:b/>
          <w:bCs/>
          <w:color w:val="FF0000"/>
        </w:rPr>
        <w:t>‘</w:t>
      </w:r>
      <w:proofErr w:type="spellStart"/>
      <w:r w:rsidRPr="000E6969">
        <w:rPr>
          <w:b/>
          <w:bCs/>
          <w:color w:val="FF0000"/>
        </w:rPr>
        <w:t>Swarajya-Mitra</w:t>
      </w:r>
      <w:proofErr w:type="spellEnd"/>
      <w:r w:rsidRPr="000E6969">
        <w:rPr>
          <w:b/>
          <w:bCs/>
          <w:color w:val="FF0000"/>
        </w:rPr>
        <w:t>’</w:t>
      </w:r>
    </w:p>
    <w:p w:rsidR="00F64D62" w:rsidRDefault="00F64D62" w:rsidP="00F64D62">
      <w:pPr>
        <w:spacing w:after="0" w:line="240" w:lineRule="auto"/>
        <w:jc w:val="both"/>
        <w:rPr>
          <w:b/>
          <w:bCs/>
        </w:rPr>
      </w:pPr>
      <w:r w:rsidRPr="000E6969">
        <w:rPr>
          <w:b/>
          <w:bCs/>
        </w:rPr>
        <w:t xml:space="preserve">  </w:t>
      </w:r>
    </w:p>
    <w:p w:rsidR="00805EAB" w:rsidRPr="000E6969" w:rsidRDefault="00805EAB" w:rsidP="00F64D62">
      <w:pPr>
        <w:spacing w:after="0" w:line="240" w:lineRule="auto"/>
        <w:jc w:val="both"/>
        <w:rPr>
          <w:b/>
          <w:bCs/>
        </w:rPr>
      </w:pPr>
    </w:p>
    <w:p w:rsidR="00F547A6" w:rsidRPr="00F547A6" w:rsidRDefault="00F547A6" w:rsidP="00F64D62">
      <w:pPr>
        <w:spacing w:after="0" w:line="240" w:lineRule="auto"/>
        <w:jc w:val="both"/>
      </w:pPr>
    </w:p>
    <w:p w:rsidR="00F547A6" w:rsidRDefault="00F547A6" w:rsidP="0025026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5026B" w:rsidRDefault="0025026B" w:rsidP="0025026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5026B" w:rsidRDefault="0025026B" w:rsidP="0025026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7224A" w:rsidRDefault="0047224A" w:rsidP="0025026B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47224A" w:rsidRDefault="0047224A" w:rsidP="0025026B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25026B" w:rsidRPr="0025026B" w:rsidRDefault="0025026B" w:rsidP="0025026B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25026B">
        <w:rPr>
          <w:b/>
          <w:bCs/>
          <w:sz w:val="24"/>
          <w:szCs w:val="24"/>
          <w:lang w:val="en-US"/>
        </w:rPr>
        <w:lastRenderedPageBreak/>
        <w:t>Articles</w:t>
      </w:r>
    </w:p>
    <w:p w:rsidR="0025026B" w:rsidRPr="00BF5D17" w:rsidRDefault="0025026B" w:rsidP="0025026B">
      <w:pPr>
        <w:spacing w:after="0" w:line="240" w:lineRule="auto"/>
        <w:rPr>
          <w:color w:val="FF0000"/>
        </w:rPr>
      </w:pPr>
    </w:p>
    <w:p w:rsidR="00E71B06" w:rsidRDefault="0025026B" w:rsidP="0025026B">
      <w:pPr>
        <w:spacing w:after="0" w:line="240" w:lineRule="auto"/>
        <w:rPr>
          <w:b/>
          <w:bCs/>
          <w:color w:val="FF0000"/>
        </w:rPr>
      </w:pPr>
      <w:r w:rsidRPr="00D25C46">
        <w:rPr>
          <w:b/>
          <w:bCs/>
          <w:color w:val="FF0000"/>
        </w:rPr>
        <w:t>Article on Consumer Subsidy by Farmers</w:t>
      </w:r>
      <w:r w:rsidR="00E71B06">
        <w:rPr>
          <w:b/>
          <w:bCs/>
          <w:color w:val="FF0000"/>
        </w:rPr>
        <w:t xml:space="preserve"> </w:t>
      </w:r>
    </w:p>
    <w:p w:rsidR="0025026B" w:rsidRDefault="001B3BF3" w:rsidP="00E71B0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This research article based on reports of Commission for Agricultural Costs &amp; Prices of Government of India proves that c</w:t>
      </w:r>
      <w:r w:rsidR="0005335B">
        <w:rPr>
          <w:color w:val="000000" w:themeColor="text1"/>
        </w:rPr>
        <w:t>onsumers are enjoying subsidy heaven provided by farmers. Actually the f</w:t>
      </w:r>
      <w:r w:rsidR="00E71B06">
        <w:rPr>
          <w:color w:val="000000" w:themeColor="text1"/>
        </w:rPr>
        <w:t xml:space="preserve">armers are compelled by the State to give huge subsidy to consumers. That is the main cause of </w:t>
      </w:r>
      <w:r w:rsidR="00A861EE">
        <w:rPr>
          <w:color w:val="000000" w:themeColor="text1"/>
        </w:rPr>
        <w:t xml:space="preserve">nightmare or </w:t>
      </w:r>
      <w:r w:rsidR="00D65A02">
        <w:rPr>
          <w:color w:val="000000" w:themeColor="text1"/>
        </w:rPr>
        <w:t>agony for farmers in Indi</w:t>
      </w:r>
      <w:r w:rsidR="006C3AFB">
        <w:rPr>
          <w:color w:val="000000" w:themeColor="text1"/>
        </w:rPr>
        <w:t>a. The</w:t>
      </w:r>
      <w:r w:rsidR="00D65A02">
        <w:rPr>
          <w:color w:val="000000" w:themeColor="text1"/>
        </w:rPr>
        <w:t xml:space="preserve"> article </w:t>
      </w:r>
      <w:r w:rsidR="006C3AFB">
        <w:rPr>
          <w:color w:val="000000" w:themeColor="text1"/>
        </w:rPr>
        <w:t>urges for</w:t>
      </w:r>
      <w:r w:rsidR="00D65A02">
        <w:rPr>
          <w:color w:val="000000" w:themeColor="text1"/>
        </w:rPr>
        <w:t xml:space="preserve"> consumer</w:t>
      </w:r>
      <w:r w:rsidR="006C3AFB">
        <w:rPr>
          <w:color w:val="000000" w:themeColor="text1"/>
        </w:rPr>
        <w:t xml:space="preserve"> movement to</w:t>
      </w:r>
      <w:r w:rsidR="00A05359">
        <w:rPr>
          <w:color w:val="000000" w:themeColor="text1"/>
        </w:rPr>
        <w:t xml:space="preserve"> </w:t>
      </w:r>
      <w:r w:rsidR="009A70F4">
        <w:rPr>
          <w:color w:val="000000" w:themeColor="text1"/>
        </w:rPr>
        <w:t xml:space="preserve">give requisite price for agricultural commodities.  </w:t>
      </w:r>
      <w:r w:rsidR="006C3AFB">
        <w:rPr>
          <w:color w:val="000000" w:themeColor="text1"/>
        </w:rPr>
        <w:t xml:space="preserve"> </w:t>
      </w:r>
      <w:r w:rsidR="00D65A02">
        <w:rPr>
          <w:color w:val="000000" w:themeColor="text1"/>
        </w:rPr>
        <w:t xml:space="preserve">  </w:t>
      </w:r>
      <w:r w:rsidR="00A861EE">
        <w:rPr>
          <w:color w:val="000000" w:themeColor="text1"/>
        </w:rPr>
        <w:t xml:space="preserve"> </w:t>
      </w:r>
    </w:p>
    <w:p w:rsidR="00C570FB" w:rsidRDefault="00C570FB" w:rsidP="00E71B06">
      <w:pPr>
        <w:spacing w:after="0" w:line="240" w:lineRule="auto"/>
        <w:jc w:val="both"/>
        <w:rPr>
          <w:color w:val="000000" w:themeColor="text1"/>
        </w:rPr>
      </w:pPr>
    </w:p>
    <w:p w:rsidR="00C570FB" w:rsidRPr="00D25C46" w:rsidRDefault="00C570FB" w:rsidP="00C570FB">
      <w:pPr>
        <w:spacing w:after="0" w:line="240" w:lineRule="auto"/>
        <w:rPr>
          <w:b/>
          <w:bCs/>
          <w:color w:val="FF0000"/>
        </w:rPr>
      </w:pPr>
      <w:r w:rsidRPr="00D25C46">
        <w:rPr>
          <w:b/>
          <w:bCs/>
          <w:color w:val="FF0000"/>
        </w:rPr>
        <w:t xml:space="preserve">Article on Farmers in Multi-brand Retail </w:t>
      </w:r>
    </w:p>
    <w:p w:rsidR="00C570FB" w:rsidRPr="00E71B06" w:rsidRDefault="00D700AA" w:rsidP="00E71B0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It was pleaded in favour of multi-brand retail that farmers would be benefited by it. The</w:t>
      </w:r>
      <w:r w:rsidR="0014730C">
        <w:rPr>
          <w:color w:val="000000" w:themeColor="text1"/>
        </w:rPr>
        <w:t xml:space="preserve"> research</w:t>
      </w:r>
      <w:r>
        <w:rPr>
          <w:color w:val="000000" w:themeColor="text1"/>
        </w:rPr>
        <w:t xml:space="preserve"> article questions this myth based on few basic facts. </w:t>
      </w:r>
    </w:p>
    <w:p w:rsidR="0025026B" w:rsidRPr="00BF5D17" w:rsidRDefault="0025026B" w:rsidP="0025026B">
      <w:pPr>
        <w:spacing w:after="0" w:line="240" w:lineRule="auto"/>
        <w:rPr>
          <w:color w:val="FF0000"/>
        </w:rPr>
      </w:pPr>
    </w:p>
    <w:p w:rsidR="0025026B" w:rsidRDefault="0025026B" w:rsidP="0025026B">
      <w:pPr>
        <w:spacing w:after="0" w:line="240" w:lineRule="auto"/>
        <w:rPr>
          <w:b/>
          <w:bCs/>
          <w:color w:val="FF0000"/>
        </w:rPr>
      </w:pPr>
      <w:r w:rsidRPr="00D25C46">
        <w:rPr>
          <w:b/>
          <w:bCs/>
          <w:color w:val="FF0000"/>
        </w:rPr>
        <w:t xml:space="preserve">Articles on Land Acquisition and Land Distribution </w:t>
      </w:r>
    </w:p>
    <w:p w:rsidR="00C71B64" w:rsidRPr="00E1435D" w:rsidRDefault="00207FA9" w:rsidP="00207FA9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Land is required for 5 </w:t>
      </w:r>
      <w:r w:rsidR="00867B93">
        <w:rPr>
          <w:color w:val="000000" w:themeColor="text1"/>
        </w:rPr>
        <w:t xml:space="preserve">most essential </w:t>
      </w:r>
      <w:r>
        <w:rPr>
          <w:color w:val="000000" w:themeColor="text1"/>
        </w:rPr>
        <w:t xml:space="preserve">components of modern life; i.e. </w:t>
      </w:r>
      <w:r w:rsidR="004C7DEA">
        <w:rPr>
          <w:color w:val="000000" w:themeColor="text1"/>
        </w:rPr>
        <w:t>hamlet/</w:t>
      </w:r>
      <w:r>
        <w:rPr>
          <w:color w:val="000000" w:themeColor="text1"/>
        </w:rPr>
        <w:t xml:space="preserve">settlement &amp; amenities, water reservoirs, </w:t>
      </w:r>
      <w:r w:rsidR="00393738">
        <w:rPr>
          <w:color w:val="000000" w:themeColor="text1"/>
        </w:rPr>
        <w:t xml:space="preserve">food production/agriculture, </w:t>
      </w:r>
      <w:r w:rsidR="0023289F">
        <w:rPr>
          <w:color w:val="000000" w:themeColor="text1"/>
        </w:rPr>
        <w:t>industries</w:t>
      </w:r>
      <w:r w:rsidR="00A951C5">
        <w:rPr>
          <w:color w:val="000000" w:themeColor="text1"/>
        </w:rPr>
        <w:t xml:space="preserve">-mines, and </w:t>
      </w:r>
      <w:r w:rsidR="00232753">
        <w:rPr>
          <w:color w:val="000000" w:themeColor="text1"/>
        </w:rPr>
        <w:t>jungle.</w:t>
      </w:r>
      <w:r w:rsidR="00A35F09">
        <w:rPr>
          <w:color w:val="000000" w:themeColor="text1"/>
        </w:rPr>
        <w:t xml:space="preserve"> We generally trend land acquisition only for anyone of these component without considering its impact on human life and our social dynamics. </w:t>
      </w:r>
      <w:r w:rsidR="00E1435D">
        <w:rPr>
          <w:color w:val="000000" w:themeColor="text1"/>
        </w:rPr>
        <w:t xml:space="preserve">This series of 5 </w:t>
      </w:r>
      <w:r w:rsidR="0014730C">
        <w:rPr>
          <w:color w:val="000000" w:themeColor="text1"/>
        </w:rPr>
        <w:t xml:space="preserve">research </w:t>
      </w:r>
      <w:r w:rsidR="00E1435D">
        <w:rPr>
          <w:color w:val="000000" w:themeColor="text1"/>
        </w:rPr>
        <w:t xml:space="preserve">articles discuss various </w:t>
      </w:r>
      <w:r w:rsidR="00F15F46">
        <w:rPr>
          <w:color w:val="000000" w:themeColor="text1"/>
        </w:rPr>
        <w:t xml:space="preserve">Doctrines, </w:t>
      </w:r>
      <w:r w:rsidR="00E1435D">
        <w:rPr>
          <w:color w:val="000000" w:themeColor="text1"/>
        </w:rPr>
        <w:t>Case Laws</w:t>
      </w:r>
      <w:r w:rsidR="00F15F46">
        <w:rPr>
          <w:color w:val="000000" w:themeColor="text1"/>
        </w:rPr>
        <w:t xml:space="preserve"> by Hon. Supreme Court</w:t>
      </w:r>
      <w:r w:rsidR="00E1435D">
        <w:rPr>
          <w:color w:val="000000" w:themeColor="text1"/>
        </w:rPr>
        <w:t xml:space="preserve"> and reports of Resettlement and Rehabilitation of project affected </w:t>
      </w:r>
      <w:r>
        <w:rPr>
          <w:color w:val="000000" w:themeColor="text1"/>
        </w:rPr>
        <w:t xml:space="preserve">displaced </w:t>
      </w:r>
      <w:r w:rsidR="00E1435D">
        <w:rPr>
          <w:color w:val="000000" w:themeColor="text1"/>
        </w:rPr>
        <w:t>people</w:t>
      </w:r>
      <w:r w:rsidR="00570AAB">
        <w:rPr>
          <w:color w:val="000000" w:themeColor="text1"/>
        </w:rPr>
        <w:t xml:space="preserve"> and land holding status of women and other marginalised people.</w:t>
      </w:r>
      <w:r w:rsidR="00E1435D">
        <w:rPr>
          <w:color w:val="000000" w:themeColor="text1"/>
        </w:rPr>
        <w:t xml:space="preserve"> </w:t>
      </w:r>
      <w:r w:rsidR="00570AAB">
        <w:rPr>
          <w:color w:val="000000" w:themeColor="text1"/>
        </w:rPr>
        <w:t>The</w:t>
      </w:r>
      <w:r w:rsidR="00587DEF">
        <w:rPr>
          <w:color w:val="000000" w:themeColor="text1"/>
        </w:rPr>
        <w:t>se</w:t>
      </w:r>
      <w:r w:rsidR="00570AAB">
        <w:rPr>
          <w:color w:val="000000" w:themeColor="text1"/>
        </w:rPr>
        <w:t xml:space="preserve"> article</w:t>
      </w:r>
      <w:r w:rsidR="00587DEF">
        <w:rPr>
          <w:color w:val="000000" w:themeColor="text1"/>
        </w:rPr>
        <w:t>s</w:t>
      </w:r>
      <w:r w:rsidR="00570AAB">
        <w:rPr>
          <w:color w:val="000000" w:themeColor="text1"/>
        </w:rPr>
        <w:t xml:space="preserve"> shows way out</w:t>
      </w:r>
      <w:r w:rsidR="00E1435D">
        <w:rPr>
          <w:color w:val="000000" w:themeColor="text1"/>
        </w:rPr>
        <w:t xml:space="preserve"> </w:t>
      </w:r>
      <w:r w:rsidR="00587DEF">
        <w:rPr>
          <w:color w:val="000000" w:themeColor="text1"/>
        </w:rPr>
        <w:t xml:space="preserve">and </w:t>
      </w:r>
      <w:r w:rsidR="00E1435D">
        <w:rPr>
          <w:color w:val="000000" w:themeColor="text1"/>
        </w:rPr>
        <w:t xml:space="preserve">urge for a comprehensive policy of </w:t>
      </w:r>
      <w:r>
        <w:rPr>
          <w:color w:val="000000" w:themeColor="text1"/>
        </w:rPr>
        <w:t xml:space="preserve">land acquisition and land distribution </w:t>
      </w:r>
    </w:p>
    <w:p w:rsidR="00A20730" w:rsidRDefault="00A20730" w:rsidP="0025026B">
      <w:pPr>
        <w:spacing w:after="0" w:line="240" w:lineRule="auto"/>
        <w:rPr>
          <w:b/>
          <w:bCs/>
          <w:color w:val="FF0000"/>
        </w:rPr>
      </w:pPr>
    </w:p>
    <w:p w:rsidR="00C71B64" w:rsidRPr="00D25C46" w:rsidRDefault="00C71B64" w:rsidP="00C71B64">
      <w:pPr>
        <w:spacing w:after="0" w:line="240" w:lineRule="auto"/>
        <w:rPr>
          <w:b/>
          <w:bCs/>
          <w:color w:val="FF0000"/>
        </w:rPr>
      </w:pPr>
      <w:r w:rsidRPr="00D25C46">
        <w:rPr>
          <w:b/>
          <w:bCs/>
          <w:color w:val="FF0000"/>
        </w:rPr>
        <w:t>Article on Civics and Voters</w:t>
      </w:r>
    </w:p>
    <w:p w:rsidR="0025026B" w:rsidRPr="00BA075E" w:rsidRDefault="00BA075E" w:rsidP="00BA075E">
      <w:pPr>
        <w:spacing w:after="0" w:line="240" w:lineRule="auto"/>
        <w:jc w:val="both"/>
        <w:rPr>
          <w:color w:val="000000" w:themeColor="text1"/>
        </w:rPr>
      </w:pPr>
      <w:r w:rsidRPr="00BA075E">
        <w:rPr>
          <w:color w:val="000000" w:themeColor="text1"/>
        </w:rPr>
        <w:t xml:space="preserve">Why </w:t>
      </w:r>
      <w:r>
        <w:rPr>
          <w:color w:val="000000" w:themeColor="text1"/>
        </w:rPr>
        <w:t xml:space="preserve">you elect particular candidate for State Legislature Assembly and Parliament? </w:t>
      </w:r>
      <w:r w:rsidR="00FE584C">
        <w:rPr>
          <w:color w:val="000000" w:themeColor="text1"/>
        </w:rPr>
        <w:t xml:space="preserve">This </w:t>
      </w:r>
      <w:r w:rsidR="0014730C">
        <w:rPr>
          <w:color w:val="000000" w:themeColor="text1"/>
        </w:rPr>
        <w:t xml:space="preserve">research </w:t>
      </w:r>
      <w:r w:rsidR="00FE584C">
        <w:rPr>
          <w:color w:val="000000" w:themeColor="text1"/>
        </w:rPr>
        <w:t xml:space="preserve">article reminds the Constitutional Duties of Elected Representatives in State Legislature Assembly and Parliament and also suggests Constitutional indicators for voters to elect a candidate. </w:t>
      </w:r>
    </w:p>
    <w:p w:rsidR="0025026B" w:rsidRPr="00BF5D17" w:rsidRDefault="0025026B" w:rsidP="0025026B">
      <w:pPr>
        <w:spacing w:after="0" w:line="240" w:lineRule="auto"/>
        <w:rPr>
          <w:color w:val="FF0000"/>
        </w:rPr>
      </w:pPr>
    </w:p>
    <w:p w:rsidR="0025026B" w:rsidRPr="00D25C46" w:rsidRDefault="00BF5D17" w:rsidP="0025026B">
      <w:pPr>
        <w:spacing w:after="0" w:line="240" w:lineRule="auto"/>
        <w:rPr>
          <w:b/>
          <w:bCs/>
          <w:color w:val="FF0000"/>
        </w:rPr>
      </w:pPr>
      <w:r w:rsidRPr="00D25C46">
        <w:rPr>
          <w:b/>
          <w:bCs/>
          <w:color w:val="FF0000"/>
        </w:rPr>
        <w:t xml:space="preserve">Article on </w:t>
      </w:r>
      <w:r w:rsidR="0025026B" w:rsidRPr="00D25C46">
        <w:rPr>
          <w:b/>
          <w:bCs/>
          <w:color w:val="FF0000"/>
        </w:rPr>
        <w:t>Manifesto Consensus for Agriculture Sector General Elections 2014</w:t>
      </w:r>
    </w:p>
    <w:p w:rsidR="0025026B" w:rsidRDefault="00A5559A" w:rsidP="004E4FC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The research article </w:t>
      </w:r>
      <w:r w:rsidR="008F667F">
        <w:rPr>
          <w:color w:val="000000" w:themeColor="text1"/>
        </w:rPr>
        <w:t>reveals that</w:t>
      </w:r>
      <w:r>
        <w:rPr>
          <w:color w:val="000000" w:themeColor="text1"/>
        </w:rPr>
        <w:t xml:space="preserve"> </w:t>
      </w:r>
      <w:r w:rsidR="008F667F">
        <w:rPr>
          <w:color w:val="000000" w:themeColor="text1"/>
        </w:rPr>
        <w:t>s</w:t>
      </w:r>
      <w:r w:rsidR="00581E6D">
        <w:rPr>
          <w:color w:val="000000" w:themeColor="text1"/>
        </w:rPr>
        <w:t>urprisingly</w:t>
      </w:r>
      <w:r w:rsidR="008F667F">
        <w:rPr>
          <w:color w:val="000000" w:themeColor="text1"/>
        </w:rPr>
        <w:t xml:space="preserve"> </w:t>
      </w:r>
      <w:r w:rsidR="00C76E0C">
        <w:rPr>
          <w:color w:val="000000" w:themeColor="text1"/>
        </w:rPr>
        <w:t>so called leftist, rightist and midlist</w:t>
      </w:r>
      <w:r w:rsidR="00581E6D">
        <w:rPr>
          <w:color w:val="000000" w:themeColor="text1"/>
        </w:rPr>
        <w:t>, all</w:t>
      </w:r>
      <w:r w:rsidR="00C76E0C">
        <w:rPr>
          <w:color w:val="000000" w:themeColor="text1"/>
        </w:rPr>
        <w:t xml:space="preserve"> political parties in India </w:t>
      </w:r>
      <w:r w:rsidR="002520AF">
        <w:rPr>
          <w:color w:val="000000" w:themeColor="text1"/>
        </w:rPr>
        <w:t>seems to have co</w:t>
      </w:r>
      <w:r w:rsidR="00DB4154">
        <w:rPr>
          <w:color w:val="000000" w:themeColor="text1"/>
        </w:rPr>
        <w:t xml:space="preserve">nsensus for agriculture sector and expect to make difference in life of farmers and agriculture sector in </w:t>
      </w:r>
      <w:r w:rsidR="00D37205">
        <w:rPr>
          <w:color w:val="000000" w:themeColor="text1"/>
        </w:rPr>
        <w:t>1</w:t>
      </w:r>
      <w:r w:rsidR="001269F2">
        <w:rPr>
          <w:color w:val="000000" w:themeColor="text1"/>
        </w:rPr>
        <w:t>6</w:t>
      </w:r>
      <w:r w:rsidR="00D37205" w:rsidRPr="00D37205">
        <w:rPr>
          <w:color w:val="000000" w:themeColor="text1"/>
          <w:vertAlign w:val="superscript"/>
        </w:rPr>
        <w:t>th</w:t>
      </w:r>
      <w:r w:rsidR="00D37205">
        <w:rPr>
          <w:color w:val="000000" w:themeColor="text1"/>
        </w:rPr>
        <w:t xml:space="preserve"> </w:t>
      </w:r>
      <w:proofErr w:type="spellStart"/>
      <w:r w:rsidR="00D37205">
        <w:rPr>
          <w:color w:val="000000" w:themeColor="text1"/>
        </w:rPr>
        <w:t>LokSabha</w:t>
      </w:r>
      <w:proofErr w:type="spellEnd"/>
      <w:r w:rsidR="00D37205">
        <w:rPr>
          <w:color w:val="000000" w:themeColor="text1"/>
        </w:rPr>
        <w:t xml:space="preserve">. </w:t>
      </w:r>
    </w:p>
    <w:p w:rsidR="0025026B" w:rsidRPr="00BF5D17" w:rsidRDefault="0025026B" w:rsidP="0025026B">
      <w:pPr>
        <w:spacing w:after="0" w:line="240" w:lineRule="auto"/>
      </w:pPr>
    </w:p>
    <w:p w:rsidR="0025026B" w:rsidRPr="00D25C46" w:rsidRDefault="00BF5D17" w:rsidP="0025026B">
      <w:pPr>
        <w:spacing w:after="0" w:line="240" w:lineRule="auto"/>
        <w:rPr>
          <w:b/>
          <w:bCs/>
          <w:color w:val="FF0000"/>
        </w:rPr>
      </w:pPr>
      <w:r w:rsidRPr="00D25C46">
        <w:rPr>
          <w:b/>
          <w:bCs/>
          <w:color w:val="FF0000"/>
        </w:rPr>
        <w:t xml:space="preserve">Article on </w:t>
      </w:r>
      <w:r w:rsidR="0025026B" w:rsidRPr="00D25C46">
        <w:rPr>
          <w:b/>
          <w:bCs/>
          <w:color w:val="FF0000"/>
        </w:rPr>
        <w:t xml:space="preserve">Citizens in Governance </w:t>
      </w:r>
    </w:p>
    <w:p w:rsidR="0025026B" w:rsidRPr="00BF5D17" w:rsidRDefault="00B64514" w:rsidP="0025026B">
      <w:pPr>
        <w:spacing w:after="0" w:line="240" w:lineRule="auto"/>
      </w:pPr>
      <w:r>
        <w:t xml:space="preserve">Far from Right to Information, the article demands </w:t>
      </w:r>
      <w:r w:rsidR="00605952">
        <w:t xml:space="preserve">direct communication between the State Secretariat </w:t>
      </w:r>
      <w:r w:rsidR="007D6A7D">
        <w:t xml:space="preserve">and Villagers for participation of rural Citizens in governance. </w:t>
      </w:r>
    </w:p>
    <w:p w:rsidR="0025026B" w:rsidRPr="00BF5D17" w:rsidRDefault="0025026B" w:rsidP="0025026B">
      <w:pPr>
        <w:spacing w:after="0" w:line="240" w:lineRule="auto"/>
      </w:pPr>
    </w:p>
    <w:p w:rsidR="0025026B" w:rsidRDefault="00BF5D17" w:rsidP="0025026B">
      <w:pPr>
        <w:spacing w:after="0" w:line="240" w:lineRule="auto"/>
        <w:rPr>
          <w:b/>
          <w:bCs/>
          <w:color w:val="FF0000"/>
        </w:rPr>
      </w:pPr>
      <w:r w:rsidRPr="00D25C46">
        <w:rPr>
          <w:b/>
          <w:bCs/>
          <w:color w:val="FF0000"/>
        </w:rPr>
        <w:t xml:space="preserve">Article on </w:t>
      </w:r>
      <w:r w:rsidR="0025026B" w:rsidRPr="00D25C46">
        <w:rPr>
          <w:b/>
          <w:bCs/>
          <w:color w:val="FF0000"/>
        </w:rPr>
        <w:t>Every Child’s Governance in Education</w:t>
      </w:r>
    </w:p>
    <w:p w:rsidR="00C16296" w:rsidRPr="00856A6F" w:rsidRDefault="00856A6F" w:rsidP="00856A6F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The article challenges general myth of ‘School Drop-Out’ children and suggest tackling systemically problems of ‘Forced-Out’ and ‘Walked-Out’ children by encouraging every child’s governance in education.   </w:t>
      </w:r>
    </w:p>
    <w:p w:rsidR="00200F3E" w:rsidRDefault="00200F3E" w:rsidP="0025026B">
      <w:pPr>
        <w:spacing w:after="0" w:line="240" w:lineRule="auto"/>
        <w:rPr>
          <w:b/>
          <w:bCs/>
          <w:color w:val="FF0000"/>
        </w:rPr>
      </w:pPr>
    </w:p>
    <w:p w:rsidR="00C16296" w:rsidRPr="00D25C46" w:rsidRDefault="00C16296" w:rsidP="00C16296">
      <w:pPr>
        <w:spacing w:after="0" w:line="240" w:lineRule="auto"/>
        <w:rPr>
          <w:b/>
          <w:bCs/>
          <w:color w:val="FF0000"/>
        </w:rPr>
      </w:pPr>
      <w:r w:rsidRPr="00D25C46">
        <w:rPr>
          <w:b/>
          <w:bCs/>
          <w:color w:val="FF0000"/>
        </w:rPr>
        <w:t>Article on Gandhi and Right to Education</w:t>
      </w:r>
    </w:p>
    <w:p w:rsidR="0025026B" w:rsidRDefault="00C0370F" w:rsidP="00977181">
      <w:pPr>
        <w:spacing w:after="0" w:line="240" w:lineRule="auto"/>
        <w:jc w:val="both"/>
      </w:pPr>
      <w:r>
        <w:t xml:space="preserve">This article remembers historical background of </w:t>
      </w:r>
      <w:proofErr w:type="spellStart"/>
      <w:r w:rsidR="00751EA4" w:rsidRPr="00751EA4">
        <w:rPr>
          <w:i/>
          <w:iCs/>
        </w:rPr>
        <w:t>Nayi</w:t>
      </w:r>
      <w:proofErr w:type="spellEnd"/>
      <w:r w:rsidR="00751EA4" w:rsidRPr="00751EA4">
        <w:rPr>
          <w:i/>
          <w:iCs/>
        </w:rPr>
        <w:t xml:space="preserve"> </w:t>
      </w:r>
      <w:proofErr w:type="spellStart"/>
      <w:r w:rsidR="00751EA4" w:rsidRPr="00751EA4">
        <w:rPr>
          <w:i/>
          <w:iCs/>
        </w:rPr>
        <w:t>Talim</w:t>
      </w:r>
      <w:proofErr w:type="spellEnd"/>
      <w:r w:rsidR="00751EA4">
        <w:t xml:space="preserve"> (new education system)</w:t>
      </w:r>
      <w:r>
        <w:t>, which</w:t>
      </w:r>
      <w:r w:rsidR="00751EA4">
        <w:t xml:space="preserve"> was a marvellous gift by Mahatma Gandhi</w:t>
      </w:r>
      <w:r w:rsidR="00977181">
        <w:t xml:space="preserve"> for establishing right to education</w:t>
      </w:r>
      <w:r>
        <w:t xml:space="preserve"> of children in India. </w:t>
      </w:r>
      <w:r w:rsidR="00977181">
        <w:t xml:space="preserve"> </w:t>
      </w:r>
      <w:r w:rsidR="00751EA4">
        <w:t xml:space="preserve"> </w:t>
      </w:r>
    </w:p>
    <w:p w:rsidR="00200F3E" w:rsidRPr="00BF5D17" w:rsidRDefault="00200F3E" w:rsidP="0025026B">
      <w:pPr>
        <w:spacing w:after="0" w:line="240" w:lineRule="auto"/>
      </w:pPr>
    </w:p>
    <w:p w:rsidR="003A7851" w:rsidRPr="007F6B9D" w:rsidRDefault="00CA7839" w:rsidP="003A7851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Affirmation for Self Governance in Health </w:t>
      </w:r>
    </w:p>
    <w:p w:rsidR="0025026B" w:rsidRDefault="00896900" w:rsidP="00264387">
      <w:pPr>
        <w:spacing w:after="0" w:line="240" w:lineRule="auto"/>
        <w:jc w:val="both"/>
      </w:pPr>
      <w:r>
        <w:t xml:space="preserve">It is the affirmation to realise self-governance for health system in a village.  </w:t>
      </w:r>
    </w:p>
    <w:p w:rsidR="00200F3E" w:rsidRDefault="00200F3E" w:rsidP="0025026B">
      <w:pPr>
        <w:spacing w:after="0" w:line="240" w:lineRule="auto"/>
      </w:pPr>
    </w:p>
    <w:p w:rsidR="003A7851" w:rsidRPr="00D25C46" w:rsidRDefault="003A7851" w:rsidP="003A7851">
      <w:pPr>
        <w:spacing w:after="0" w:line="240" w:lineRule="auto"/>
        <w:rPr>
          <w:b/>
          <w:bCs/>
          <w:color w:val="FF0000"/>
        </w:rPr>
      </w:pPr>
      <w:r w:rsidRPr="00D25C46">
        <w:rPr>
          <w:b/>
          <w:bCs/>
          <w:color w:val="FF0000"/>
        </w:rPr>
        <w:t xml:space="preserve">Speech for Freedom </w:t>
      </w:r>
    </w:p>
    <w:p w:rsidR="003A7851" w:rsidRPr="005C35A2" w:rsidRDefault="00195630" w:rsidP="00264387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Great s</w:t>
      </w:r>
      <w:r w:rsidR="00AF3E8B">
        <w:rPr>
          <w:color w:val="000000" w:themeColor="text1"/>
        </w:rPr>
        <w:t>truggle of a</w:t>
      </w:r>
      <w:r w:rsidR="00D40F0C">
        <w:rPr>
          <w:color w:val="000000" w:themeColor="text1"/>
        </w:rPr>
        <w:t xml:space="preserve"> girl with Cerebral Palsy (a kind of Physical Impairment) </w:t>
      </w:r>
      <w:r>
        <w:rPr>
          <w:color w:val="000000" w:themeColor="text1"/>
        </w:rPr>
        <w:t xml:space="preserve">for getting educated by overcoming negative attitude of community </w:t>
      </w:r>
      <w:r w:rsidR="005516C6">
        <w:rPr>
          <w:color w:val="000000" w:themeColor="text1"/>
        </w:rPr>
        <w:t xml:space="preserve">is expressed in her speech on Independence Day. The organisation is supporting girls with disabilities for living life with dignity. </w:t>
      </w:r>
    </w:p>
    <w:p w:rsidR="00200F3E" w:rsidRDefault="00200F3E" w:rsidP="0025026B">
      <w:pPr>
        <w:spacing w:after="0" w:line="240" w:lineRule="auto"/>
      </w:pPr>
    </w:p>
    <w:p w:rsidR="003A7851" w:rsidRPr="00D25C46" w:rsidRDefault="003A7851" w:rsidP="003A7851">
      <w:pPr>
        <w:spacing w:after="0" w:line="240" w:lineRule="auto"/>
        <w:rPr>
          <w:b/>
          <w:bCs/>
          <w:color w:val="FF0000"/>
        </w:rPr>
      </w:pPr>
      <w:r w:rsidRPr="00D25C46">
        <w:rPr>
          <w:b/>
          <w:bCs/>
          <w:color w:val="FF0000"/>
        </w:rPr>
        <w:t xml:space="preserve">Fictions and Facts in Health Services to Persons with Disabilities </w:t>
      </w:r>
    </w:p>
    <w:p w:rsidR="003A7851" w:rsidRDefault="008F3C54" w:rsidP="00436BDA">
      <w:pPr>
        <w:spacing w:after="0" w:line="240" w:lineRule="auto"/>
        <w:jc w:val="both"/>
      </w:pPr>
      <w:r>
        <w:t>Research p</w:t>
      </w:r>
      <w:r w:rsidR="00C513A8">
        <w:t>resentation on fictions and facts in health services to persons with disabilities</w:t>
      </w:r>
      <w:r>
        <w:t xml:space="preserve"> in the working area of the organisation. </w:t>
      </w:r>
      <w:r w:rsidR="00C513A8">
        <w:t xml:space="preserve"> </w:t>
      </w:r>
    </w:p>
    <w:p w:rsidR="00200F3E" w:rsidRDefault="00200F3E" w:rsidP="0025026B">
      <w:pPr>
        <w:spacing w:after="0" w:line="240" w:lineRule="auto"/>
      </w:pPr>
    </w:p>
    <w:p w:rsidR="003A7851" w:rsidRPr="00D25C46" w:rsidRDefault="003A7851" w:rsidP="003A7851">
      <w:pPr>
        <w:spacing w:after="0" w:line="240" w:lineRule="auto"/>
        <w:rPr>
          <w:b/>
          <w:bCs/>
          <w:color w:val="FF0000"/>
        </w:rPr>
      </w:pPr>
      <w:r w:rsidRPr="00D25C46">
        <w:rPr>
          <w:b/>
          <w:bCs/>
          <w:color w:val="FF0000"/>
        </w:rPr>
        <w:t xml:space="preserve">Book on Status of Persons with Disabilities </w:t>
      </w:r>
    </w:p>
    <w:p w:rsidR="003A7851" w:rsidRPr="007901BF" w:rsidRDefault="00B62809" w:rsidP="00436BD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The book reveals l</w:t>
      </w:r>
      <w:r w:rsidR="007901BF">
        <w:rPr>
          <w:color w:val="000000" w:themeColor="text1"/>
        </w:rPr>
        <w:t>iving status of Persons with Disabilities in world, the country – India, the state – Maharashtra</w:t>
      </w:r>
      <w:r>
        <w:rPr>
          <w:color w:val="000000" w:themeColor="text1"/>
        </w:rPr>
        <w:t xml:space="preserve"> in context with Persons with Disabilities Act, 1995; and performance audit report of the Comptroller and Auditor General of India. </w:t>
      </w:r>
      <w:r w:rsidR="007901BF">
        <w:rPr>
          <w:color w:val="000000" w:themeColor="text1"/>
        </w:rPr>
        <w:t xml:space="preserve">  </w:t>
      </w:r>
    </w:p>
    <w:p w:rsidR="00200F3E" w:rsidRDefault="00200F3E" w:rsidP="003A7851">
      <w:pPr>
        <w:spacing w:after="0" w:line="240" w:lineRule="auto"/>
        <w:rPr>
          <w:b/>
          <w:bCs/>
          <w:color w:val="FF0000"/>
        </w:rPr>
      </w:pPr>
    </w:p>
    <w:p w:rsidR="003A7851" w:rsidRPr="00D25C46" w:rsidRDefault="003A7851" w:rsidP="003A7851">
      <w:pPr>
        <w:spacing w:after="0" w:line="240" w:lineRule="auto"/>
        <w:rPr>
          <w:b/>
          <w:bCs/>
          <w:color w:val="FF0000"/>
        </w:rPr>
      </w:pPr>
      <w:r w:rsidRPr="00D25C46">
        <w:rPr>
          <w:b/>
          <w:bCs/>
          <w:color w:val="FF0000"/>
        </w:rPr>
        <w:t xml:space="preserve">Aspiring Prosperity – Sustainable and Secured Livelihood Initiatives Strategy Plan </w:t>
      </w:r>
    </w:p>
    <w:p w:rsidR="003A7851" w:rsidRPr="002A3441" w:rsidRDefault="004E7F43" w:rsidP="002A344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Research presentation on sustainable and secured livelihood initiatives strategy plan suggests way towards aspiring prosperity</w:t>
      </w:r>
      <w:r w:rsidR="002F3A4A">
        <w:rPr>
          <w:color w:val="000000" w:themeColor="text1"/>
        </w:rPr>
        <w:t xml:space="preserve"> for rural people. </w:t>
      </w:r>
    </w:p>
    <w:sectPr w:rsidR="003A7851" w:rsidRPr="002A3441" w:rsidSect="00045B13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649"/>
    <w:multiLevelType w:val="hybridMultilevel"/>
    <w:tmpl w:val="2B4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0464"/>
    <w:multiLevelType w:val="hybridMultilevel"/>
    <w:tmpl w:val="DCF0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F0F5F"/>
    <w:multiLevelType w:val="hybridMultilevel"/>
    <w:tmpl w:val="BC5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34AE1"/>
    <w:multiLevelType w:val="hybridMultilevel"/>
    <w:tmpl w:val="B2E8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B13"/>
    <w:rsid w:val="000244C8"/>
    <w:rsid w:val="00035CAD"/>
    <w:rsid w:val="00045B13"/>
    <w:rsid w:val="00051220"/>
    <w:rsid w:val="0005335B"/>
    <w:rsid w:val="000544E8"/>
    <w:rsid w:val="00066CF5"/>
    <w:rsid w:val="00071DEB"/>
    <w:rsid w:val="000770EE"/>
    <w:rsid w:val="000E6969"/>
    <w:rsid w:val="000F51BC"/>
    <w:rsid w:val="00111A77"/>
    <w:rsid w:val="00125CC5"/>
    <w:rsid w:val="001269F2"/>
    <w:rsid w:val="00133F24"/>
    <w:rsid w:val="0014730C"/>
    <w:rsid w:val="00173893"/>
    <w:rsid w:val="0017749D"/>
    <w:rsid w:val="00195630"/>
    <w:rsid w:val="001B3BF3"/>
    <w:rsid w:val="001D52E6"/>
    <w:rsid w:val="001E7305"/>
    <w:rsid w:val="001F58F0"/>
    <w:rsid w:val="00200F3E"/>
    <w:rsid w:val="00207FA9"/>
    <w:rsid w:val="00221853"/>
    <w:rsid w:val="00232753"/>
    <w:rsid w:val="0023289F"/>
    <w:rsid w:val="0025026B"/>
    <w:rsid w:val="002520AF"/>
    <w:rsid w:val="00261B96"/>
    <w:rsid w:val="00264387"/>
    <w:rsid w:val="00266EBA"/>
    <w:rsid w:val="00274319"/>
    <w:rsid w:val="0027791A"/>
    <w:rsid w:val="00282A7C"/>
    <w:rsid w:val="0029066A"/>
    <w:rsid w:val="002A3441"/>
    <w:rsid w:val="002B0BAA"/>
    <w:rsid w:val="002E7722"/>
    <w:rsid w:val="002F3A4A"/>
    <w:rsid w:val="00313D71"/>
    <w:rsid w:val="00330D35"/>
    <w:rsid w:val="00364CB2"/>
    <w:rsid w:val="00393738"/>
    <w:rsid w:val="003A7851"/>
    <w:rsid w:val="003E2ACF"/>
    <w:rsid w:val="00435D6F"/>
    <w:rsid w:val="00436BDA"/>
    <w:rsid w:val="00443642"/>
    <w:rsid w:val="00456E64"/>
    <w:rsid w:val="0047224A"/>
    <w:rsid w:val="00475EA3"/>
    <w:rsid w:val="004A7EF1"/>
    <w:rsid w:val="004C557B"/>
    <w:rsid w:val="004C7DEA"/>
    <w:rsid w:val="004E4FCB"/>
    <w:rsid w:val="004E643E"/>
    <w:rsid w:val="004E7F43"/>
    <w:rsid w:val="00522C83"/>
    <w:rsid w:val="00531D19"/>
    <w:rsid w:val="005332A7"/>
    <w:rsid w:val="00542836"/>
    <w:rsid w:val="005516C6"/>
    <w:rsid w:val="00570AAB"/>
    <w:rsid w:val="00581E6D"/>
    <w:rsid w:val="00587DEF"/>
    <w:rsid w:val="005A1111"/>
    <w:rsid w:val="005A543F"/>
    <w:rsid w:val="005C35A2"/>
    <w:rsid w:val="00605952"/>
    <w:rsid w:val="0067272A"/>
    <w:rsid w:val="006B7116"/>
    <w:rsid w:val="006B78C8"/>
    <w:rsid w:val="006C3AFB"/>
    <w:rsid w:val="007066BA"/>
    <w:rsid w:val="007364E5"/>
    <w:rsid w:val="00751EA4"/>
    <w:rsid w:val="0075267E"/>
    <w:rsid w:val="007825E7"/>
    <w:rsid w:val="007901BF"/>
    <w:rsid w:val="007D6A7D"/>
    <w:rsid w:val="007D6D37"/>
    <w:rsid w:val="007F5D54"/>
    <w:rsid w:val="007F6B9D"/>
    <w:rsid w:val="00805EAB"/>
    <w:rsid w:val="00843CEE"/>
    <w:rsid w:val="00847574"/>
    <w:rsid w:val="00856A6F"/>
    <w:rsid w:val="00867B93"/>
    <w:rsid w:val="00896900"/>
    <w:rsid w:val="008E2969"/>
    <w:rsid w:val="008F3C54"/>
    <w:rsid w:val="008F667F"/>
    <w:rsid w:val="009276B7"/>
    <w:rsid w:val="009558BB"/>
    <w:rsid w:val="00960216"/>
    <w:rsid w:val="00966333"/>
    <w:rsid w:val="00977181"/>
    <w:rsid w:val="009A70F4"/>
    <w:rsid w:val="009E2402"/>
    <w:rsid w:val="009E27F4"/>
    <w:rsid w:val="00A01C91"/>
    <w:rsid w:val="00A05359"/>
    <w:rsid w:val="00A20730"/>
    <w:rsid w:val="00A35F09"/>
    <w:rsid w:val="00A3721E"/>
    <w:rsid w:val="00A5559A"/>
    <w:rsid w:val="00A567E9"/>
    <w:rsid w:val="00A57B7F"/>
    <w:rsid w:val="00A861EE"/>
    <w:rsid w:val="00A951C5"/>
    <w:rsid w:val="00AB1A58"/>
    <w:rsid w:val="00AB2E5C"/>
    <w:rsid w:val="00AF3E8B"/>
    <w:rsid w:val="00B303FB"/>
    <w:rsid w:val="00B46300"/>
    <w:rsid w:val="00B50DDB"/>
    <w:rsid w:val="00B62809"/>
    <w:rsid w:val="00B64514"/>
    <w:rsid w:val="00B66EA8"/>
    <w:rsid w:val="00BA075E"/>
    <w:rsid w:val="00BB5A53"/>
    <w:rsid w:val="00BD52A7"/>
    <w:rsid w:val="00BF5D17"/>
    <w:rsid w:val="00C023C0"/>
    <w:rsid w:val="00C0370F"/>
    <w:rsid w:val="00C16296"/>
    <w:rsid w:val="00C513A8"/>
    <w:rsid w:val="00C568F6"/>
    <w:rsid w:val="00C570FB"/>
    <w:rsid w:val="00C7021E"/>
    <w:rsid w:val="00C71B64"/>
    <w:rsid w:val="00C76E0C"/>
    <w:rsid w:val="00CA3966"/>
    <w:rsid w:val="00CA7839"/>
    <w:rsid w:val="00CE646E"/>
    <w:rsid w:val="00CF534E"/>
    <w:rsid w:val="00D22FDA"/>
    <w:rsid w:val="00D25C46"/>
    <w:rsid w:val="00D37205"/>
    <w:rsid w:val="00D40F0C"/>
    <w:rsid w:val="00D51E69"/>
    <w:rsid w:val="00D53154"/>
    <w:rsid w:val="00D64A01"/>
    <w:rsid w:val="00D65A02"/>
    <w:rsid w:val="00D700AA"/>
    <w:rsid w:val="00D7222C"/>
    <w:rsid w:val="00D8709A"/>
    <w:rsid w:val="00DB11AA"/>
    <w:rsid w:val="00DB4154"/>
    <w:rsid w:val="00DB6E49"/>
    <w:rsid w:val="00DE4519"/>
    <w:rsid w:val="00DE4FA2"/>
    <w:rsid w:val="00E00E7F"/>
    <w:rsid w:val="00E1435D"/>
    <w:rsid w:val="00E203DA"/>
    <w:rsid w:val="00E30EC2"/>
    <w:rsid w:val="00E62578"/>
    <w:rsid w:val="00E71B06"/>
    <w:rsid w:val="00E81A84"/>
    <w:rsid w:val="00EB7492"/>
    <w:rsid w:val="00ED077B"/>
    <w:rsid w:val="00F02CAE"/>
    <w:rsid w:val="00F15F46"/>
    <w:rsid w:val="00F23BF9"/>
    <w:rsid w:val="00F265B3"/>
    <w:rsid w:val="00F40B59"/>
    <w:rsid w:val="00F547A6"/>
    <w:rsid w:val="00F5551E"/>
    <w:rsid w:val="00F64D62"/>
    <w:rsid w:val="00F83359"/>
    <w:rsid w:val="00FB7CAC"/>
    <w:rsid w:val="00FD0AB9"/>
    <w:rsid w:val="00FE584C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7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">
    <w:name w:val="Style3"/>
    <w:basedOn w:val="TableNormal"/>
    <w:uiPriority w:val="99"/>
    <w:rsid w:val="008E2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A1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D6D37"/>
    <w:rPr>
      <w:b/>
      <w:bCs/>
    </w:rPr>
  </w:style>
  <w:style w:type="paragraph" w:styleId="ListParagraph">
    <w:name w:val="List Paragraph"/>
    <w:basedOn w:val="Normal"/>
    <w:uiPriority w:val="34"/>
    <w:qFormat/>
    <w:rsid w:val="00533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B2"/>
    <w:rPr>
      <w:rFonts w:ascii="Tahoma" w:hAnsi="Tahoma" w:cs="Tahoma"/>
      <w:sz w:val="16"/>
      <w:szCs w:val="16"/>
      <w:lang w:val="en-IN"/>
    </w:rPr>
  </w:style>
  <w:style w:type="paragraph" w:styleId="Subtitle">
    <w:name w:val="Subtitle"/>
    <w:basedOn w:val="Normal"/>
    <w:link w:val="SubtitleChar"/>
    <w:qFormat/>
    <w:rsid w:val="007526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75267E"/>
    <w:rPr>
      <w:rFonts w:ascii="Times New Roman" w:eastAsia="Times New Roman" w:hAnsi="Times New Roman" w:cs="Times New Roman"/>
      <w:b/>
      <w:bCs/>
      <w:sz w:val="40"/>
      <w:szCs w:val="24"/>
      <w:lang w:val="en-IN"/>
    </w:rPr>
  </w:style>
  <w:style w:type="table" w:styleId="MediumShading1-Accent4">
    <w:name w:val="Medium Shading 1 Accent 4"/>
    <w:basedOn w:val="TableNormal"/>
    <w:uiPriority w:val="63"/>
    <w:rsid w:val="007526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526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E2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DB6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133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33F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/>
            </a:pPr>
            <a:r>
              <a:rPr lang="en-US" sz="1000" b="0"/>
              <a:t>Gross</a:t>
            </a:r>
            <a:r>
              <a:rPr lang="en-US" sz="1000" b="0" baseline="0"/>
              <a:t> </a:t>
            </a:r>
            <a:r>
              <a:rPr lang="en-US" sz="1000" b="0"/>
              <a:t>Annual Income of </a:t>
            </a:r>
            <a:r>
              <a:rPr lang="en-US" sz="1000" b="0" i="1"/>
              <a:t>Ekal Mahila</a:t>
            </a:r>
            <a:r>
              <a:rPr lang="en-US" sz="1000" b="0"/>
              <a:t> Computed from Livelihood Basket</a:t>
            </a:r>
          </a:p>
        </c:rich>
      </c:tx>
      <c:layout>
        <c:manualLayout>
          <c:xMode val="edge"/>
          <c:yMode val="edge"/>
          <c:x val="0.12470485638209169"/>
          <c:y val="1.0716734349454164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2.3148148148148147E-2"/>
                  <c:y val="-3.968253968253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3888888888889056E-2"/>
                  <c:y val="-3.968253968253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9.2590769903763016E-3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Less than INR 21,000</c:v>
                </c:pt>
                <c:pt idx="1">
                  <c:v>Less than INR 36,000</c:v>
                </c:pt>
                <c:pt idx="2">
                  <c:v>Less than INR 100,000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55</c:v>
                </c:pt>
                <c:pt idx="1">
                  <c:v>84</c:v>
                </c:pt>
                <c:pt idx="2">
                  <c:v>100</c:v>
                </c:pt>
              </c:numCache>
            </c:numRef>
          </c:val>
        </c:ser>
        <c:shape val="cylinder"/>
        <c:axId val="58895360"/>
        <c:axId val="70174976"/>
        <c:axId val="0"/>
      </c:bar3DChart>
      <c:catAx>
        <c:axId val="58895360"/>
        <c:scaling>
          <c:orientation val="minMax"/>
        </c:scaling>
        <c:axPos val="b"/>
        <c:tickLblPos val="nextTo"/>
        <c:crossAx val="70174976"/>
        <c:crosses val="autoZero"/>
        <c:auto val="1"/>
        <c:lblAlgn val="ctr"/>
        <c:lblOffset val="100"/>
      </c:catAx>
      <c:valAx>
        <c:axId val="70174976"/>
        <c:scaling>
          <c:orientation val="minMax"/>
        </c:scaling>
        <c:axPos val="l"/>
        <c:numFmt formatCode="General" sourceLinked="1"/>
        <c:tickLblPos val="nextTo"/>
        <c:crossAx val="5889536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Verdana" pitchFamily="34" charset="0"/>
          <a:ea typeface="Verdana" pitchFamily="34" charset="0"/>
          <a:cs typeface="Verdana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Disability  Development &amp; Deprivation Index </a:t>
            </a:r>
          </a:p>
          <a:p>
            <a:pPr>
              <a:defRPr sz="1000"/>
            </a:pPr>
            <a:r>
              <a:rPr lang="en-US" sz="1000"/>
              <a:t>regarding Health Service Indices</a:t>
            </a:r>
          </a:p>
        </c:rich>
      </c:tx>
    </c:title>
    <c:view3D>
      <c:rAngAx val="1"/>
    </c:view3D>
    <c:sideWall>
      <c:spPr>
        <a:solidFill>
          <a:schemeClr val="bg1"/>
        </a:solidFill>
      </c:spPr>
    </c:sideWall>
    <c:backWall>
      <c:spPr>
        <a:solidFill>
          <a:schemeClr val="bg1"/>
        </a:solidFill>
      </c:spPr>
    </c:backWall>
    <c:plotArea>
      <c:layout>
        <c:manualLayout>
          <c:layoutTarget val="inner"/>
          <c:xMode val="edge"/>
          <c:yMode val="edge"/>
          <c:x val="0.15269005847953221"/>
          <c:y val="0.16995886947058461"/>
          <c:w val="0.83122807017543865"/>
          <c:h val="0.76380145317202131"/>
        </c:manualLayout>
      </c:layout>
      <c:bar3D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Development Index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3333333333333341E-2"/>
                  <c:y val="0"/>
                </c:manualLayout>
              </c:layout>
              <c:showVal val="1"/>
              <c:separator>
</c:separator>
            </c:dLbl>
            <c:dLbl>
              <c:idx val="2"/>
              <c:layout>
                <c:manualLayout>
                  <c:x val="0.10222222222222331"/>
                  <c:y val="1.0899182561307902E-2"/>
                </c:manualLayout>
              </c:layout>
              <c:showVal val="1"/>
              <c:separator>
</c:separator>
            </c:dLbl>
            <c:dLbl>
              <c:idx val="3"/>
              <c:layout>
                <c:manualLayout>
                  <c:x val="7.7777777777777724E-2"/>
                  <c:y val="7.2661217075386531E-3"/>
                </c:manualLayout>
              </c:layout>
              <c:showVal val="1"/>
              <c:separator>
</c:separator>
            </c:dLbl>
            <c:dLbl>
              <c:idx val="4"/>
              <c:layout>
                <c:manualLayout>
                  <c:x val="6.6666666666666818E-2"/>
                  <c:y val="7.2661217075386531E-3"/>
                </c:manualLayout>
              </c:layout>
              <c:showVal val="1"/>
              <c:separator>
</c:separator>
            </c:dLbl>
            <c:dLbl>
              <c:idx val="5"/>
              <c:layout>
                <c:manualLayout>
                  <c:x val="8.2222222222222224E-2"/>
                  <c:y val="1.0899182561307902E-2"/>
                </c:manualLayout>
              </c:layout>
              <c:showVal val="1"/>
              <c:separator>
</c:separator>
            </c:dLbl>
            <c:dLbl>
              <c:idx val="6"/>
              <c:layout>
                <c:manualLayout>
                  <c:x val="4.8888888888888982E-2"/>
                  <c:y val="1.0898610425740356E-2"/>
                </c:manualLayout>
              </c:layout>
              <c:showVal val="1"/>
              <c:separator>
</c:separator>
            </c:dLbl>
            <c:dLbl>
              <c:idx val="7"/>
              <c:layout>
                <c:manualLayout>
                  <c:x val="6.8888888888888972E-2"/>
                  <c:y val="1.0899182561307902E-2"/>
                </c:manualLayout>
              </c:layout>
              <c:showVal val="1"/>
              <c:separator>
</c:separator>
            </c:dLbl>
            <c:dLbl>
              <c:idx val="8"/>
              <c:layout>
                <c:manualLayout>
                  <c:x val="6.4444444444444582E-2"/>
                  <c:y val="1.0899182561307902E-2"/>
                </c:manualLayout>
              </c:layout>
              <c:showVal val="1"/>
              <c:separator>
</c:separator>
            </c:dLbl>
            <c:dLbl>
              <c:idx val="9"/>
              <c:layout>
                <c:manualLayout>
                  <c:x val="4.8888888888888891E-2"/>
                  <c:y val="7.2661217075386531E-3"/>
                </c:manualLayout>
              </c:layout>
              <c:showVal val="1"/>
              <c:separator>
</c:separator>
            </c:dLbl>
            <c:dLbl>
              <c:idx val="10"/>
              <c:layout>
                <c:manualLayout>
                  <c:x val="7.3333333333334041E-2"/>
                  <c:y val="1.453195734729344E-2"/>
                </c:manualLayout>
              </c:layout>
              <c:showVal val="1"/>
              <c:separator>
</c:separator>
            </c:dLbl>
            <c:dLbl>
              <c:idx val="11"/>
              <c:layout>
                <c:manualLayout>
                  <c:x val="2.4444444444444446E-2"/>
                  <c:y val="1.0899182561307902E-2"/>
                </c:manualLayout>
              </c:layout>
              <c:showVal val="1"/>
              <c:separator>
</c:separator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900" b="1">
                    <a:solidFill>
                      <a:srgbClr val="006600"/>
                    </a:solidFill>
                  </a:defRPr>
                </a:pPr>
                <a:endParaRPr lang="en-US"/>
              </a:p>
            </c:txPr>
            <c:showVal val="1"/>
            <c:separator>
</c:separator>
          </c:dLbls>
          <c:cat>
            <c:strRef>
              <c:f>Sheet1!$A$2:$A$13</c:f>
              <c:strCache>
                <c:ptCount val="12"/>
                <c:pt idx="0">
                  <c:v>Disability Certification</c:v>
                </c:pt>
                <c:pt idx="1">
                  <c:v>Medical Assessment</c:v>
                </c:pt>
                <c:pt idx="2">
                  <c:v>Rehabilitation Services to Profound</c:v>
                </c:pt>
                <c:pt idx="3">
                  <c:v>Rehabilitation Services to Severe</c:v>
                </c:pt>
                <c:pt idx="4">
                  <c:v>Rehabilitation Services to Moderate</c:v>
                </c:pt>
                <c:pt idx="5">
                  <c:v>Rehabilitation Services to Dependent </c:v>
                </c:pt>
                <c:pt idx="6">
                  <c:v>Rehabilitation Services to Partially Dependent</c:v>
                </c:pt>
                <c:pt idx="7">
                  <c:v>Assistive Devices to Profound</c:v>
                </c:pt>
                <c:pt idx="8">
                  <c:v>Assistive Devices to Severe</c:v>
                </c:pt>
                <c:pt idx="9">
                  <c:v>Assistive Devices to Moderate</c:v>
                </c:pt>
                <c:pt idx="10">
                  <c:v>Assistive Devices to Dependent</c:v>
                </c:pt>
                <c:pt idx="11">
                  <c:v>Assistive Devices to Partially Dependent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60.97</c:v>
                </c:pt>
                <c:pt idx="1">
                  <c:v>69.84</c:v>
                </c:pt>
                <c:pt idx="2">
                  <c:v>0</c:v>
                </c:pt>
                <c:pt idx="3">
                  <c:v>4.55</c:v>
                </c:pt>
                <c:pt idx="4">
                  <c:v>6.9300000000000024</c:v>
                </c:pt>
                <c:pt idx="5">
                  <c:v>3.55</c:v>
                </c:pt>
                <c:pt idx="6">
                  <c:v>10.17</c:v>
                </c:pt>
                <c:pt idx="7">
                  <c:v>6.1199999999999966</c:v>
                </c:pt>
                <c:pt idx="8">
                  <c:v>6.8199999999999985</c:v>
                </c:pt>
                <c:pt idx="9">
                  <c:v>9.9600000000000026</c:v>
                </c:pt>
                <c:pt idx="10">
                  <c:v>5.67</c:v>
                </c:pt>
                <c:pt idx="11">
                  <c:v>15.25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Deprivation Index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.27555555555555555"/>
                  <c:y val="0"/>
                </c:manualLayout>
              </c:layout>
              <c:showVal val="1"/>
              <c:separator> </c:separator>
            </c:dLbl>
            <c:dLbl>
              <c:idx val="1"/>
              <c:layout>
                <c:manualLayout>
                  <c:x val="0.32000000000000217"/>
                  <c:y val="0"/>
                </c:manualLayout>
              </c:layout>
              <c:showVal val="1"/>
              <c:separator> </c:separator>
            </c:dLbl>
            <c:dLbl>
              <c:idx val="6"/>
              <c:layout>
                <c:manualLayout>
                  <c:x val="1.5555555555555642E-2"/>
                  <c:y val="-3.63306085376933E-3"/>
                </c:manualLayout>
              </c:layout>
              <c:showVal val="1"/>
              <c:separator> </c:separator>
            </c:dLbl>
            <c:dLbl>
              <c:idx val="9"/>
              <c:layout>
                <c:manualLayout>
                  <c:x val="1.3333333333333341E-2"/>
                  <c:y val="0"/>
                </c:manualLayout>
              </c:layout>
              <c:showVal val="1"/>
              <c:separator> </c:separator>
            </c:dLbl>
            <c:dLbl>
              <c:idx val="11"/>
              <c:layout>
                <c:manualLayout>
                  <c:x val="4.6666666666666703E-2"/>
                  <c:y val="0"/>
                </c:manualLayout>
              </c:layout>
              <c:showVal val="1"/>
              <c:separator> </c:separator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Val val="1"/>
            <c:separator> </c:separator>
          </c:dLbls>
          <c:cat>
            <c:strRef>
              <c:f>Sheet1!$A$2:$A$13</c:f>
              <c:strCache>
                <c:ptCount val="12"/>
                <c:pt idx="0">
                  <c:v>Disability Certification</c:v>
                </c:pt>
                <c:pt idx="1">
                  <c:v>Medical Assessment</c:v>
                </c:pt>
                <c:pt idx="2">
                  <c:v>Rehabilitation Services to Profound</c:v>
                </c:pt>
                <c:pt idx="3">
                  <c:v>Rehabilitation Services to Severe</c:v>
                </c:pt>
                <c:pt idx="4">
                  <c:v>Rehabilitation Services to Moderate</c:v>
                </c:pt>
                <c:pt idx="5">
                  <c:v>Rehabilitation Services to Dependent </c:v>
                </c:pt>
                <c:pt idx="6">
                  <c:v>Rehabilitation Services to Partially Dependent</c:v>
                </c:pt>
                <c:pt idx="7">
                  <c:v>Assistive Devices to Profound</c:v>
                </c:pt>
                <c:pt idx="8">
                  <c:v>Assistive Devices to Severe</c:v>
                </c:pt>
                <c:pt idx="9">
                  <c:v>Assistive Devices to Moderate</c:v>
                </c:pt>
                <c:pt idx="10">
                  <c:v>Assistive Devices to Dependent</c:v>
                </c:pt>
                <c:pt idx="11">
                  <c:v>Assistive Devices to Partially Dependent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39.03</c:v>
                </c:pt>
                <c:pt idx="1">
                  <c:v>30.16</c:v>
                </c:pt>
                <c:pt idx="2">
                  <c:v>100</c:v>
                </c:pt>
                <c:pt idx="3">
                  <c:v>95.45</c:v>
                </c:pt>
                <c:pt idx="4">
                  <c:v>93.07</c:v>
                </c:pt>
                <c:pt idx="5">
                  <c:v>96.45</c:v>
                </c:pt>
                <c:pt idx="6">
                  <c:v>89.83</c:v>
                </c:pt>
                <c:pt idx="7">
                  <c:v>93.88</c:v>
                </c:pt>
                <c:pt idx="8">
                  <c:v>93.179999999999978</c:v>
                </c:pt>
                <c:pt idx="9">
                  <c:v>90.04</c:v>
                </c:pt>
                <c:pt idx="10">
                  <c:v>94.33</c:v>
                </c:pt>
                <c:pt idx="11">
                  <c:v>84.75</c:v>
                </c:pt>
              </c:numCache>
            </c:numRef>
          </c:val>
        </c:ser>
        <c:dLbls>
          <c:showVal val="1"/>
        </c:dLbls>
        <c:shape val="cylinder"/>
        <c:axId val="85201664"/>
        <c:axId val="85203584"/>
        <c:axId val="0"/>
      </c:bar3DChart>
      <c:catAx>
        <c:axId val="8520166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85203584"/>
        <c:crosses val="autoZero"/>
        <c:auto val="1"/>
        <c:lblAlgn val="ctr"/>
        <c:lblOffset val="100"/>
      </c:catAx>
      <c:valAx>
        <c:axId val="8520358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5201664"/>
        <c:crosses val="autoZero"/>
        <c:crossBetween val="between"/>
      </c:valAx>
    </c:plotArea>
    <c:legend>
      <c:legendPos val="tr"/>
      <c:legendEntry>
        <c:idx val="1"/>
        <c:txPr>
          <a:bodyPr/>
          <a:lstStyle/>
          <a:p>
            <a:pPr>
              <a:defRPr b="0"/>
            </a:pPr>
            <a:endParaRPr lang="en-US"/>
          </a:p>
        </c:txPr>
      </c:legendEntry>
      <c:layout>
        <c:manualLayout>
          <c:xMode val="edge"/>
          <c:yMode val="edge"/>
          <c:x val="0.75953893263342764"/>
          <c:y val="1.8165304268846563E-2"/>
          <c:w val="0.22712773403324588"/>
          <c:h val="0.12398349388887697"/>
        </c:manualLayout>
      </c:layout>
    </c:legend>
    <c:plotVisOnly val="1"/>
  </c:chart>
  <c:spPr>
    <a:solidFill>
      <a:srgbClr val="FFFF99"/>
    </a:solidFill>
  </c:spPr>
  <c:txPr>
    <a:bodyPr/>
    <a:lstStyle/>
    <a:p>
      <a:pPr>
        <a:defRPr sz="1000">
          <a:solidFill>
            <a:sysClr val="windowText" lastClr="000000"/>
          </a:solidFill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DA75-30DF-4ECB-A445-0F1FCC08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BAIS</dc:creator>
  <cp:lastModifiedBy>win7</cp:lastModifiedBy>
  <cp:revision>164</cp:revision>
  <dcterms:created xsi:type="dcterms:W3CDTF">2016-09-22T08:24:00Z</dcterms:created>
  <dcterms:modified xsi:type="dcterms:W3CDTF">2016-11-13T13:57:00Z</dcterms:modified>
</cp:coreProperties>
</file>